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-earnings-predictions--2026-07-22"/>
    <w:p>
      <w:pPr>
        <w:pStyle w:val="Heading1"/>
      </w:pPr>
      <w:r>
        <w:t xml:space="preserve">T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(2Q26)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~$0.60 vs. cons $0.59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phone net adds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~390k vs. cons ~340k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Advanced internet / fiber net adds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~300k fiber vs. cons ~260k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</w:t>
            </w:r>
            <m:oMath>
              <m:r>
                <m:t>2.25</m:t>
              </m:r>
              <m:r>
                <m:rPr>
                  <m:sty m:val="p"/>
                </m:rPr>
                <m:t>−</m:t>
              </m:r>
            </m:oMath>
            <w:r>
              <w:t xml:space="preserve">2.35 vs. cons $2.32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~3-4% vs. cons ~3.5%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Wireless service revenue growth accel (2H26)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~2-3% vs. cons ~2% (FY26/2H26)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SpaceX/Starlink &amp; Charter framing (Stankey commentary)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satellite framed as complement; MVNO/wholesale optionality; PT range</w:t>
            </w:r>
            <w:r>
              <w:t xml:space="preserve"> </w:t>
            </w:r>
            <m:oMath>
              <m:r>
                <m:t>18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t>F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29 avg (qualitative)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Stock is oversold near 2-yr lows (~</w:t>
            </w:r>
            <m:oMath>
              <m:r>
                <m:t>22</m:t>
              </m:r>
              <m:r>
                <m:t>v</m:t>
              </m:r>
              <m:r>
                <m:t>s</m:t>
              </m:r>
              <m:r>
                <m:t> </m:t>
              </m:r>
            </m:oMath>
            <w:r>
              <w:t xml:space="preserve">29 avg PT) with a very low price bar; a clean beat on subs/EPS plus reaffirmed FY26 guide should trigger a relief bounce. But estimates are already ~mid-guide so there is little upward-revision fuel, and the SpaceX/Starlink-Charter overhang (no 'clarifying event' until C-band auction / direct-to-cell decisions) caps follow-through — so the day-1 pop largely holds/consolidates rather than extending or fully fading.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2026-07-22T00:08:32Z</dcterms:created>
  <dcterms:modified xsi:type="dcterms:W3CDTF">2026-07-22T00:08:32Z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