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-earnings-predictions--2026-07-22"/>
    <w:p>
      <w:pPr>
        <w:pStyle w:val="Heading1"/>
      </w:pPr>
      <w:r>
        <w:t xml:space="preserve">T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~$32.1B vs. cons $32.04B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~275K vs. cons 308.5K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~$2.30 vs. cons $2.31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~$18.0B vs. cons $18.2B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wireless service revenue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2.8%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debt/EBITDA leverage post-EchoStar close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~3.2x vs. cons 3.1x (year-end 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+1.3% (FADE)</w:t>
            </w:r>
          </w:p>
        </w:tc>
        <w:tc>
          <w:tcPr/>
          <w:p>
            <w:pPr>
              <w:pStyle w:val="Compact"/>
            </w:pPr>
            <w:r>
              <w:t xml:space="preserve">A likely EPS beat (Zacks ESP +4.83%) plus reiterated FY26 EPS/FCF/EBITDA guidance and constructive Starlink commentary should trigger a short-covering relief pop off deeply oversold, heavily bearish positioning (stock -24% since March, Wells Fargo $18 UW target). But because full-year guidance is only reiterated (not raised) and postpaid net-add/churn optics likely soften post-April price hike, out-period consensus EPS/EBITDA revisions won't move materially higher — capping the move. The structural Starlink/Charter competitive overhang remains unresolved (no deal update expected), so bears keep their thesis intact and initial gains partially fade over the following days as algo/quant flow and analyst notes normalize.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2026-07-22T00:11:29Z</dcterms:created>
  <dcterms:modified xsi:type="dcterms:W3CDTF">2026-07-22T00:11:29Z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