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att-nyse-t--q2-2026-earnings-preview"/>
    <w:p>
      <w:pPr>
        <w:pStyle w:val="Heading1"/>
      </w:pPr>
      <w:r>
        <w:t xml:space="preserve">AT&amp;T (NYSE: T) — Q2 2026 Earnings Preview</w:t>
      </w:r>
    </w:p>
    <w:p>
      <w:pPr>
        <w:pStyle w:val="FirstParagraph"/>
      </w:pPr>
      <w:r>
        <w:rPr>
          <w:b/>
          <w:bCs/>
        </w:rPr>
        <w:t xml:space="preserve">Report:</w:t>
      </w:r>
      <w:r>
        <w:t xml:space="preserve"> </w:t>
      </w:r>
      <w:r>
        <w:t xml:space="preserve">Wednesday, July 22, 2026, before the market opens</w:t>
      </w:r>
      <w:r>
        <w:br/>
      </w:r>
      <w:r>
        <w:rPr>
          <w:b/>
          <w:bCs/>
        </w:rPr>
        <w:t xml:space="preserve">Conference call:</w:t>
      </w:r>
      <w:r>
        <w:t xml:space="preserve"> </w:t>
      </w:r>
      <w:r>
        <w:t xml:space="preserve">8:30 a.m. ET (</w:t>
      </w:r>
      <w:hyperlink r:id="rId9">
        <w:r>
          <w:rPr>
            <w:rStyle w:val="Hyperlink"/>
          </w:rPr>
          <w:t xml:space="preserve">about.att.com</w:t>
        </w:r>
      </w:hyperlink>
      <w:r>
        <w:t xml:space="preserve">)</w:t>
      </w:r>
    </w:p>
    <w:bookmarkStart w:id="10" w:name="investment-view-going-into-the-report"/>
    <w:p>
      <w:pPr>
        <w:pStyle w:val="Heading2"/>
      </w:pPr>
      <w:r>
        <w:t xml:space="preserve">Investment view going into the report</w:t>
      </w:r>
    </w:p>
    <w:p>
      <w:pPr>
        <w:pStyle w:val="FirstParagraph"/>
      </w:pPr>
      <w:r>
        <w:t xml:space="preserve">This quarter is less about whether AT&amp;T beats EPS by a cent and more about whether management can demonstrate that its promised</w:t>
      </w:r>
      <w:r>
        <w:t xml:space="preserve"> </w:t>
      </w:r>
      <w:r>
        <w:rPr>
          <w:b/>
          <w:bCs/>
        </w:rPr>
        <w:t xml:space="preserve">second-quarter acceleration</w:t>
      </w:r>
      <w:r>
        <w:t xml:space="preserve"> </w:t>
      </w:r>
      <w:r>
        <w:t xml:space="preserve">is material, sustainable and broad-based.</w:t>
      </w:r>
    </w:p>
    <w:p>
      <w:pPr>
        <w:pStyle w:val="BodyText"/>
      </w:pPr>
      <w:r>
        <w:t xml:space="preserve">Investors should focus on five issues:</w:t>
      </w:r>
    </w:p>
    <w:p>
      <w:pPr>
        <w:pStyle w:val="Compact"/>
        <w:numPr>
          <w:ilvl w:val="0"/>
          <w:numId w:val="1001"/>
        </w:numPr>
      </w:pPr>
      <w:r>
        <w:t xml:space="preserve">Whether wireless pricing produces faster service-revenue growth without materially worsening churn.</w:t>
      </w:r>
    </w:p>
    <w:p>
      <w:pPr>
        <w:pStyle w:val="Compact"/>
        <w:numPr>
          <w:ilvl w:val="0"/>
          <w:numId w:val="1001"/>
        </w:numPr>
      </w:pPr>
      <w:r>
        <w:t xml:space="preserve">Whether fiber growth accelerates as the acquired Lumen footprint enters its first full quarter.</w:t>
      </w:r>
    </w:p>
    <w:p>
      <w:pPr>
        <w:pStyle w:val="Compact"/>
        <w:numPr>
          <w:ilvl w:val="0"/>
          <w:numId w:val="1001"/>
        </w:numPr>
      </w:pPr>
      <w:r>
        <w:t xml:space="preserve">Whether Advanced Connectivity growth is beginning to overwhelm the sharp decline in legacy copper earnings.</w:t>
      </w:r>
    </w:p>
    <w:p>
      <w:pPr>
        <w:pStyle w:val="Compact"/>
        <w:numPr>
          <w:ilvl w:val="0"/>
          <w:numId w:val="1001"/>
        </w:numPr>
      </w:pPr>
      <w:r>
        <w:t xml:space="preserve">Whether free cash flow remains on track despite elevated network investment.</w:t>
      </w:r>
    </w:p>
    <w:p>
      <w:pPr>
        <w:pStyle w:val="Compact"/>
        <w:numPr>
          <w:ilvl w:val="0"/>
          <w:numId w:val="1001"/>
        </w:numPr>
      </w:pPr>
      <w:r>
        <w:t xml:space="preserve">Whether management can credibly address the market’s growing concern about satellite-based wireless and broadband competition.</w:t>
      </w:r>
    </w:p>
    <w:p>
      <w:pPr>
        <w:pStyle w:val="FirstParagraph"/>
      </w:pPr>
      <w:r>
        <w:t xml:space="preserve">The stock closed July 21 at approximately</w:t>
      </w:r>
      <w:r>
        <w:t xml:space="preserve"> </w:t>
      </w:r>
      <w:r>
        <w:rPr>
          <w:b/>
          <w:bCs/>
        </w:rPr>
        <w:t xml:space="preserve">$22.27</w:t>
      </w:r>
      <w:r>
        <w:t xml:space="preserve">, down about</w:t>
      </w:r>
      <w:r>
        <w:t xml:space="preserve"> </w:t>
      </w:r>
      <w:r>
        <w:rPr>
          <w:b/>
          <w:bCs/>
        </w:rPr>
        <w:t xml:space="preserve">14% since the Q1 report</w:t>
      </w:r>
      <w:r>
        <w:t xml:space="preserve">,</w:t>
      </w:r>
      <w:r>
        <w:t xml:space="preserve"> </w:t>
      </w:r>
      <w:r>
        <w:rPr>
          <w:b/>
          <w:bCs/>
        </w:rPr>
        <w:t xml:space="preserve">23% below its March high</w:t>
      </w:r>
      <w:r>
        <w:t xml:space="preserve">, and 9% year to date. At that price, the annualized $1.11 dividend yields approximately</w:t>
      </w:r>
      <w:r>
        <w:t xml:space="preserve"> </w:t>
      </w:r>
      <w:r>
        <w:rPr>
          <w:b/>
          <w:bCs/>
        </w:rPr>
        <w:t xml:space="preserve">5.0%</w:t>
      </w:r>
      <w:r>
        <w:t xml:space="preserve">, while the stock trades around</w:t>
      </w:r>
      <w:r>
        <w:t xml:space="preserve"> </w:t>
      </w:r>
      <w:r>
        <w:rPr>
          <w:b/>
          <w:bCs/>
        </w:rPr>
        <w:t xml:space="preserve">9.6 times</w:t>
      </w:r>
      <w:r>
        <w:t xml:space="preserve"> </w:t>
      </w:r>
      <w:r>
        <w:t xml:space="preserve">the current $2.32 consensus 2026 EPS estimate. The valuation is undemanding, but the selloff shows that investors want evidence that AT&amp;T’s growth plan remains defensible.</w:t>
      </w:r>
    </w:p>
    <w:bookmarkEnd w:id="10"/>
    <w:bookmarkStart w:id="12" w:name="headline-expectations"/>
    <w:p>
      <w:pPr>
        <w:pStyle w:val="Heading2"/>
      </w:pPr>
      <w:r>
        <w:t xml:space="preserve">Headline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expectation or guidepost</w:t>
            </w:r>
          </w:p>
        </w:tc>
        <w:tc>
          <w:tcPr/>
          <w:p>
            <w:pPr>
              <w:pStyle w:val="Compact"/>
              <w:jc w:val="right"/>
            </w:pPr>
            <w:r>
              <w:t xml:space="preserve">Q2 2025 / Q1 2026 reference</w:t>
            </w:r>
          </w:p>
        </w:tc>
      </w:tr>
      <w:tr>
        <w:tc>
          <w:tcPr/>
          <w:p>
            <w:pPr>
              <w:pStyle w:val="Compact"/>
            </w:pPr>
            <w:r>
              <w:t xml:space="preserve">Adjusted EPS</w:t>
            </w:r>
          </w:p>
        </w:tc>
        <w:tc>
          <w:tcPr/>
          <w:p>
            <w:pPr>
              <w:pStyle w:val="Compact"/>
              <w:jc w:val="right"/>
            </w:pPr>
            <w:r>
              <w:rPr>
                <w:b/>
                <w:bCs/>
              </w:rPr>
              <w:t xml:space="preserve">$0.59 consensus</w:t>
            </w:r>
          </w:p>
        </w:tc>
        <w:tc>
          <w:tcPr/>
          <w:p>
            <w:pPr>
              <w:pStyle w:val="Compact"/>
              <w:jc w:val="right"/>
            </w:pPr>
            <w:r>
              <w:t xml:space="preserve">$0.54 / $0.57</w:t>
            </w:r>
          </w:p>
        </w:tc>
      </w:tr>
      <w:tr>
        <w:tc>
          <w:tcPr/>
          <w:p>
            <w:pPr>
              <w:pStyle w:val="Compact"/>
            </w:pPr>
            <w:r>
              <w:t xml:space="preserve">Revenue</w:t>
            </w:r>
          </w:p>
        </w:tc>
        <w:tc>
          <w:tcPr/>
          <w:p>
            <w:pPr>
              <w:pStyle w:val="Compact"/>
              <w:jc w:val="right"/>
            </w:pPr>
            <m:oMath>
              <m:r>
                <m:t>32.0</m:t>
              </m:r>
              <m:r>
                <m:rPr>
                  <m:sty m:val="p"/>
                </m:rPr>
                <m:t>–</m:t>
              </m:r>
            </m:oMath>
            <w:r>
              <w:rPr>
                <w:b/>
                <w:bCs/>
              </w:rPr>
              <w:t xml:space="preserve">32.1B consensus</w:t>
            </w:r>
          </w:p>
        </w:tc>
        <w:tc>
          <w:tcPr/>
          <w:p>
            <w:pPr>
              <w:pStyle w:val="Compact"/>
              <w:jc w:val="right"/>
            </w:pPr>
            <w:r>
              <w:t xml:space="preserve">$30.8B / $31.5B</w:t>
            </w:r>
          </w:p>
        </w:tc>
      </w:tr>
      <w:tr>
        <w:tc>
          <w:tcPr/>
          <w:p>
            <w:pPr>
              <w:pStyle w:val="Compact"/>
            </w:pPr>
            <w:r>
              <w:t xml:space="preserve">Free cash flow</w:t>
            </w:r>
          </w:p>
        </w:tc>
        <w:tc>
          <w:tcPr/>
          <w:p>
            <w:pPr>
              <w:pStyle w:val="Compact"/>
              <w:jc w:val="right"/>
            </w:pPr>
            <m:oMath>
              <m:r>
                <m:t>4.0</m:t>
              </m:r>
              <m:r>
                <m:rPr>
                  <m:sty m:val="p"/>
                </m:rPr>
                <m:t>–</m:t>
              </m:r>
            </m:oMath>
            <w:r>
              <w:rPr>
                <w:b/>
                <w:bCs/>
              </w:rPr>
              <w:t xml:space="preserve">4.5B company outlook</w:t>
            </w:r>
          </w:p>
        </w:tc>
        <w:tc>
          <w:tcPr/>
          <w:p>
            <w:pPr>
              <w:pStyle w:val="Compact"/>
              <w:jc w:val="right"/>
            </w:pPr>
            <w:r>
              <w:t xml:space="preserve">$4.4B / $2.5B</w:t>
            </w:r>
          </w:p>
        </w:tc>
      </w:tr>
      <w:tr>
        <w:tc>
          <w:tcPr/>
          <w:p>
            <w:pPr>
              <w:pStyle w:val="Compact"/>
            </w:pPr>
            <w:r>
              <w:t xml:space="preserve">Wireless service-revenue growth</w:t>
            </w:r>
          </w:p>
        </w:tc>
        <w:tc>
          <w:tcPr/>
          <w:p>
            <w:pPr>
              <w:pStyle w:val="Compact"/>
              <w:jc w:val="right"/>
            </w:pPr>
            <w:r>
              <w:rPr>
                <w:b/>
                <w:bCs/>
              </w:rPr>
              <w:t xml:space="preserve">Better than Q1's 1.7%</w:t>
            </w:r>
          </w:p>
        </w:tc>
        <w:tc>
          <w:tcPr/>
          <w:p>
            <w:pPr>
              <w:pStyle w:val="Compact"/>
              <w:jc w:val="right"/>
            </w:pPr>
            <w:r>
              <w:t xml:space="preserve">3.5% in Q2 2025 under prior reporting</w:t>
            </w:r>
          </w:p>
        </w:tc>
      </w:tr>
      <w:tr>
        <w:tc>
          <w:tcPr/>
          <w:p>
            <w:pPr>
              <w:pStyle w:val="Compact"/>
            </w:pPr>
            <w:r>
              <w:t xml:space="preserve">Consolidated adjusted EBITDA growth</w:t>
            </w:r>
          </w:p>
        </w:tc>
        <w:tc>
          <w:tcPr/>
          <w:p>
            <w:pPr>
              <w:pStyle w:val="Compact"/>
              <w:jc w:val="right"/>
            </w:pPr>
            <w:r>
              <w:rPr>
                <w:b/>
                <w:bCs/>
              </w:rPr>
              <w:t xml:space="preserve">Better than Q1's 2.3%</w:t>
            </w:r>
          </w:p>
        </w:tc>
        <w:tc>
          <w:tcPr/>
          <w:p>
            <w:pPr>
              <w:pStyle w:val="Compact"/>
              <w:jc w:val="right"/>
            </w:pPr>
            <w:r>
              <w:t xml:space="preserve">Q2 2025 EBITDA of $11.7B</w:t>
            </w:r>
          </w:p>
        </w:tc>
      </w:tr>
      <w:tr>
        <w:tc>
          <w:tcPr/>
          <w:p>
            <w:pPr>
              <w:pStyle w:val="Compact"/>
            </w:pPr>
            <w:r>
              <w:t xml:space="preserve">Consumer fiber net additions</w:t>
            </w:r>
          </w:p>
        </w:tc>
        <w:tc>
          <w:tcPr/>
          <w:p>
            <w:pPr>
              <w:pStyle w:val="Compact"/>
              <w:jc w:val="right"/>
            </w:pPr>
            <w:r>
              <w:t xml:space="preserve">About</w:t>
            </w:r>
            <w:r>
              <w:t xml:space="preserve"> </w:t>
            </w:r>
            <w:r>
              <w:rPr>
                <w:b/>
                <w:bCs/>
              </w:rPr>
              <w:t xml:space="preserve">312K consensus</w:t>
            </w:r>
          </w:p>
        </w:tc>
        <w:tc>
          <w:tcPr/>
          <w:p>
            <w:pPr>
              <w:pStyle w:val="Compact"/>
              <w:jc w:val="right"/>
            </w:pPr>
            <w:r>
              <w:t xml:space="preserve">243K / 273K</w:t>
            </w:r>
          </w:p>
        </w:tc>
      </w:tr>
      <w:tr>
        <w:tc>
          <w:tcPr/>
          <w:p>
            <w:pPr>
              <w:pStyle w:val="Compact"/>
            </w:pPr>
            <w:r>
              <w:t xml:space="preserve">Advanced home internet net additions</w:t>
            </w:r>
          </w:p>
        </w:tc>
        <w:tc>
          <w:tcPr/>
          <w:p>
            <w:pPr>
              <w:pStyle w:val="Compact"/>
              <w:jc w:val="right"/>
            </w:pPr>
            <w:r>
              <w:rPr>
                <w:b/>
                <w:bCs/>
              </w:rPr>
              <w:t xml:space="preserve">Year-over-year improvement</w:t>
            </w:r>
          </w:p>
        </w:tc>
        <w:tc>
          <w:tcPr/>
          <w:p>
            <w:pPr>
              <w:pStyle w:val="Compact"/>
              <w:jc w:val="right"/>
            </w:pPr>
            <w:r>
              <w:t xml:space="preserve">446K in Q2 2025 / 512K in Q1 2026</w:t>
            </w:r>
          </w:p>
        </w:tc>
      </w:tr>
      <w:tr>
        <w:tc>
          <w:tcPr/>
          <w:p>
            <w:pPr>
              <w:pStyle w:val="Compact"/>
            </w:pPr>
            <w:r>
              <w:t xml:space="preserve">Postpaid phone net additions</w:t>
            </w:r>
          </w:p>
        </w:tc>
        <w:tc>
          <w:tcPr/>
          <w:p>
            <w:pPr>
              <w:pStyle w:val="Compact"/>
              <w:jc w:val="right"/>
            </w:pPr>
            <w:r>
              <w:t xml:space="preserve">No clean, widely reported consensus;</w:t>
            </w:r>
            <w:r>
              <w:t xml:space="preserve"> </w:t>
            </w:r>
            <w:r>
              <w:rPr>
                <w:b/>
                <w:bCs/>
              </w:rPr>
              <w:t xml:space="preserve">300K+ would be reassuring</w:t>
            </w:r>
          </w:p>
        </w:tc>
        <w:tc>
          <w:tcPr/>
          <w:p>
            <w:pPr>
              <w:pStyle w:val="Compact"/>
              <w:jc w:val="right"/>
            </w:pPr>
            <w:r>
              <w:t xml:space="preserve">401K / 294K</w:t>
            </w:r>
          </w:p>
        </w:tc>
      </w:tr>
    </w:tbl>
    <w:p>
      <w:pPr>
        <w:pStyle w:val="BodyText"/>
      </w:pPr>
      <w:r>
        <w:t xml:space="preserve">Wall Street’s headline consensus calls for approximately</w:t>
      </w:r>
      <w:r>
        <w:t xml:space="preserve"> </w:t>
      </w:r>
      <w:r>
        <w:rPr>
          <w:b/>
          <w:bCs/>
        </w:rPr>
        <w:t xml:space="preserve">$0.59 of adjusted EPS and $32.04 billion of revenue</w:t>
      </w:r>
      <w:r>
        <w:t xml:space="preserve">, representing growth of roughly 9% and 4%, respectively. The EPS estimate has moved modestly higher over the past month. (</w:t>
      </w:r>
      <w:hyperlink r:id="rId11">
        <w:r>
          <w:rPr>
            <w:rStyle w:val="Hyperlink"/>
          </w:rPr>
          <w:t xml:space="preserve">zacks.com</w:t>
        </w:r>
      </w:hyperlink>
      <w:r>
        <w:t xml:space="preserve">)</w:t>
      </w:r>
    </w:p>
    <w:p>
      <w:pPr>
        <w:pStyle w:val="BodyText"/>
      </w:pPr>
      <w:r>
        <w:t xml:space="preserve">AT&amp;T reaffirmed its outlook in June and specifically said it continued to expect better year-over-year growth in wireless service revenue and consolidated adjusted EBITDA than it reported in Q1, year-over-year improvement in advanced home internet additions, and</w:t>
      </w:r>
      <w:r>
        <w:t xml:space="preserve"> </w:t>
      </w:r>
      <m:oMath>
        <m:r>
          <m:t>4.0</m:t>
        </m:r>
        <m:r>
          <m:rPr>
            <m:sty m:val="p"/>
          </m:rPr>
          <m:t>–</m:t>
        </m:r>
      </m:oMath>
      <w:r>
        <w:t xml:space="preserve">4.5 billion of Q2 free cash flow.</w:t>
      </w:r>
    </w:p>
    <w:bookmarkEnd w:id="12"/>
    <w:bookmarkStart w:id="16" w:name="Xcad31036fab3eb955d9a1ac437a3be812bd3835"/>
    <w:p>
      <w:pPr>
        <w:pStyle w:val="Heading2"/>
      </w:pPr>
      <w:r>
        <w:t xml:space="preserve">1. Wireless: pricing versus churn is the central operating test</w:t>
      </w:r>
    </w:p>
    <w:p>
      <w:pPr>
        <w:pStyle w:val="FirstParagraph"/>
      </w:pPr>
      <w:r>
        <w:t xml:space="preserve">AT&amp;T entered Q2 with solid subscriber momentum: Q1 postpaid phone net additions were</w:t>
      </w:r>
      <w:r>
        <w:t xml:space="preserve"> </w:t>
      </w:r>
      <w:r>
        <w:rPr>
          <w:b/>
          <w:bCs/>
        </w:rPr>
        <w:t xml:space="preserve">294,000</w:t>
      </w:r>
      <w:r>
        <w:t xml:space="preserve">, churn was</w:t>
      </w:r>
      <w:r>
        <w:t xml:space="preserve"> </w:t>
      </w:r>
      <w:r>
        <w:rPr>
          <w:b/>
          <w:bCs/>
        </w:rPr>
        <w:t xml:space="preserve">0.89%</w:t>
      </w:r>
      <w:r>
        <w:t xml:space="preserve">, and wireless service revenue grew</w:t>
      </w:r>
      <w:r>
        <w:t xml:space="preserve"> </w:t>
      </w:r>
      <w:r>
        <w:rPr>
          <w:b/>
          <w:bCs/>
        </w:rPr>
        <w:t xml:space="preserve">1.7%</w:t>
      </w:r>
      <w:r>
        <w:t xml:space="preserve">. However, postpaid phone ARPU was flat year over year as AT&amp;T added more value-oriented and converged customers. (</w:t>
      </w:r>
      <w:hyperlink r:id="rId13">
        <w:r>
          <w:rPr>
            <w:rStyle w:val="Hyperlink"/>
          </w:rPr>
          <w:t xml:space="preserve">investors.att.com</w:t>
        </w:r>
      </w:hyperlink>
      <w:r>
        <w:t xml:space="preserve">)</w:t>
      </w:r>
    </w:p>
    <w:p>
      <w:pPr>
        <w:pStyle w:val="BodyText"/>
      </w:pPr>
      <w:r>
        <w:t xml:space="preserve">Management implemented wireless pricing actions beginning in April. That should make Q2 the first meaningful test of whether AT&amp;T can accelerate service revenue without damaging customer retention.</w:t>
      </w:r>
    </w:p>
    <w:bookmarkStart w:id="14" w:name="what-would-constitute-a-good-result"/>
    <w:p>
      <w:pPr>
        <w:pStyle w:val="Heading3"/>
      </w:pPr>
      <w:r>
        <w:t xml:space="preserve">What would constitute a good result</w:t>
      </w:r>
    </w:p>
    <w:p>
      <w:pPr>
        <w:pStyle w:val="Compact"/>
        <w:numPr>
          <w:ilvl w:val="0"/>
          <w:numId w:val="1002"/>
        </w:numPr>
      </w:pPr>
      <w:r>
        <w:t xml:space="preserve">Wireless service-revenue growth clearly above Q1's 1.7%, ideally moving toward the full-year</w:t>
      </w:r>
      <w:r>
        <w:t xml:space="preserve"> </w:t>
      </w:r>
      <w:r>
        <w:rPr>
          <w:b/>
          <w:bCs/>
        </w:rPr>
        <w:t xml:space="preserve">2%–3%</w:t>
      </w:r>
      <w:r>
        <w:t xml:space="preserve"> </w:t>
      </w:r>
      <w:r>
        <w:t xml:space="preserve">target.</w:t>
      </w:r>
    </w:p>
    <w:p>
      <w:pPr>
        <w:pStyle w:val="Compact"/>
        <w:numPr>
          <w:ilvl w:val="0"/>
          <w:numId w:val="1002"/>
        </w:numPr>
      </w:pPr>
      <w:r>
        <w:t xml:space="preserve">Postpaid phone additions around or above 300,000.</w:t>
      </w:r>
    </w:p>
    <w:p>
      <w:pPr>
        <w:pStyle w:val="Compact"/>
        <w:numPr>
          <w:ilvl w:val="0"/>
          <w:numId w:val="1002"/>
        </w:numPr>
      </w:pPr>
      <w:r>
        <w:t xml:space="preserve">Postpaid phone churn remaining near or below 0.90%.</w:t>
      </w:r>
    </w:p>
    <w:p>
      <w:pPr>
        <w:pStyle w:val="Compact"/>
        <w:numPr>
          <w:ilvl w:val="0"/>
          <w:numId w:val="1002"/>
        </w:numPr>
      </w:pPr>
      <w:r>
        <w:t xml:space="preserve">Evidence that account growth and convergence—not merely price increases—are supporting revenue.</w:t>
      </w:r>
    </w:p>
    <w:bookmarkEnd w:id="14"/>
    <w:bookmarkStart w:id="15" w:name="what-would-worry-investors"/>
    <w:p>
      <w:pPr>
        <w:pStyle w:val="Heading3"/>
      </w:pPr>
      <w:r>
        <w:t xml:space="preserve">What would worry investors</w:t>
      </w:r>
    </w:p>
    <w:p>
      <w:pPr>
        <w:pStyle w:val="Compact"/>
        <w:numPr>
          <w:ilvl w:val="0"/>
          <w:numId w:val="1003"/>
        </w:numPr>
      </w:pPr>
      <w:r>
        <w:t xml:space="preserve">Churn approaching or exceeding 0.95%.</w:t>
      </w:r>
    </w:p>
    <w:p>
      <w:pPr>
        <w:pStyle w:val="Compact"/>
        <w:numPr>
          <w:ilvl w:val="0"/>
          <w:numId w:val="1003"/>
        </w:numPr>
      </w:pPr>
      <w:r>
        <w:t xml:space="preserve">Weak phone additions despite higher promotional spending.</w:t>
      </w:r>
    </w:p>
    <w:p>
      <w:pPr>
        <w:pStyle w:val="Compact"/>
        <w:numPr>
          <w:ilvl w:val="0"/>
          <w:numId w:val="1003"/>
        </w:numPr>
      </w:pPr>
      <w:r>
        <w:t xml:space="preserve">Revenue acceleration driven almost entirely by price, with little improvement in account or subscriber trends.</w:t>
      </w:r>
    </w:p>
    <w:p>
      <w:pPr>
        <w:pStyle w:val="Compact"/>
        <w:numPr>
          <w:ilvl w:val="0"/>
          <w:numId w:val="1003"/>
        </w:numPr>
      </w:pPr>
      <w:r>
        <w:t xml:space="preserve">A more promotional industry environment that pressures equipment costs and margins.</w:t>
      </w:r>
    </w:p>
    <w:p>
      <w:pPr>
        <w:pStyle w:val="FirstParagraph"/>
      </w:pPr>
      <w:r>
        <w:t xml:space="preserve">Management commentary on</w:t>
      </w:r>
      <w:r>
        <w:t xml:space="preserve"> </w:t>
      </w:r>
      <w:r>
        <w:rPr>
          <w:b/>
          <w:bCs/>
        </w:rPr>
        <w:t xml:space="preserve">OneConnect</w:t>
      </w:r>
      <w:r>
        <w:t xml:space="preserve">, refreshed Unlimited Your Way plans and convergence will matter. Investors should look for adoption data rather than broad statements that customers like the offers.</w:t>
      </w:r>
    </w:p>
    <w:bookmarkEnd w:id="15"/>
    <w:bookmarkEnd w:id="16"/>
    <w:bookmarkStart w:id="17" w:name="X31fd44006b6a91f98d0b62d8e9c47b8ada0e83c"/>
    <w:p>
      <w:pPr>
        <w:pStyle w:val="Heading2"/>
      </w:pPr>
      <w:r>
        <w:t xml:space="preserve">2. Fiber and convergence: the most important part of the growth thesis</w:t>
      </w:r>
    </w:p>
    <w:p>
      <w:pPr>
        <w:pStyle w:val="FirstParagraph"/>
      </w:pPr>
      <w:r>
        <w:t xml:space="preserve">AT&amp;T closed the Lumen mass-market fiber acquisition on February 2, adding approximately</w:t>
      </w:r>
      <w:r>
        <w:t xml:space="preserve"> </w:t>
      </w:r>
      <w:r>
        <w:rPr>
          <w:b/>
          <w:bCs/>
        </w:rPr>
        <w:t xml:space="preserve">1.1 million fiber customers and more than 4 million fiber locations</w:t>
      </w:r>
      <w:r>
        <w:t xml:space="preserve">. Q2 will therefore include a full quarter of those customer relationships, versus only two months in Q1. AT&amp;T ended Q1 reaching more than 37 million consumer and business fiber locations and remains on track to exceed 40 million by year-end. (</w:t>
      </w:r>
      <w:hyperlink r:id="rId13">
        <w:r>
          <w:rPr>
            <w:rStyle w:val="Hyperlink"/>
          </w:rPr>
          <w:t xml:space="preserve">investors.att.com</w:t>
        </w:r>
      </w:hyperlink>
      <w:r>
        <w:t xml:space="preserve">)</w:t>
      </w:r>
    </w:p>
    <w:p>
      <w:pPr>
        <w:pStyle w:val="BodyText"/>
      </w:pPr>
      <w:r>
        <w:t xml:space="preserve">The key distinction is between</w:t>
      </w:r>
      <w:r>
        <w:t xml:space="preserve"> </w:t>
      </w:r>
      <w:r>
        <w:rPr>
          <w:b/>
          <w:bCs/>
        </w:rPr>
        <w:t xml:space="preserve">reported growth</w:t>
      </w:r>
      <w:r>
        <w:t xml:space="preserve"> </w:t>
      </w:r>
      <w:r>
        <w:t xml:space="preserve">and</w:t>
      </w:r>
      <w:r>
        <w:t xml:space="preserve"> </w:t>
      </w:r>
      <w:r>
        <w:rPr>
          <w:b/>
          <w:bCs/>
        </w:rPr>
        <w:t xml:space="preserve">organic operating improvement</w:t>
      </w:r>
      <w:r>
        <w:t xml:space="preserve">. The Lumen customers boost revenue and subscriber totals, but management has said the acquired regions should make little EBITDA contribution during 2026 because AT&amp;T is investing in distribution, engineering, construction and service capabilities.</w:t>
      </w:r>
    </w:p>
    <w:p>
      <w:pPr>
        <w:pStyle w:val="BodyText"/>
      </w:pPr>
      <w:r>
        <w:t xml:space="preserve">Investors should watch:</w:t>
      </w:r>
    </w:p>
    <w:p>
      <w:pPr>
        <w:pStyle w:val="Compact"/>
        <w:numPr>
          <w:ilvl w:val="0"/>
          <w:numId w:val="1004"/>
        </w:numPr>
      </w:pPr>
      <w:r>
        <w:t xml:space="preserve">Consumer fiber net additions; consensus is approximately</w:t>
      </w:r>
      <w:r>
        <w:t xml:space="preserve"> </w:t>
      </w:r>
      <w:r>
        <w:rPr>
          <w:b/>
          <w:bCs/>
        </w:rPr>
        <w:t xml:space="preserve">312,000</w:t>
      </w:r>
      <w:r>
        <w:t xml:space="preserve">, versus 273,000 in Q1 and 243,000 a year ago. (</w:t>
      </w:r>
      <w:hyperlink r:id="rId11">
        <w:r>
          <w:rPr>
            <w:rStyle w:val="Hyperlink"/>
          </w:rPr>
          <w:t xml:space="preserve">zacks.com</w:t>
        </w:r>
      </w:hyperlink>
      <w:r>
        <w:t xml:space="preserve">)</w:t>
      </w:r>
    </w:p>
    <w:p>
      <w:pPr>
        <w:pStyle w:val="Compact"/>
        <w:numPr>
          <w:ilvl w:val="0"/>
          <w:numId w:val="1004"/>
        </w:numPr>
      </w:pPr>
      <w:r>
        <w:t xml:space="preserve">Internet Air additions and the resulting mix between fiber and fixed wireless.</w:t>
      </w:r>
    </w:p>
    <w:p>
      <w:pPr>
        <w:pStyle w:val="Compact"/>
        <w:numPr>
          <w:ilvl w:val="0"/>
          <w:numId w:val="1004"/>
        </w:numPr>
      </w:pPr>
      <w:r>
        <w:t xml:space="preserve">Organic versus acquired-location customer growth.</w:t>
      </w:r>
    </w:p>
    <w:p>
      <w:pPr>
        <w:pStyle w:val="Compact"/>
        <w:numPr>
          <w:ilvl w:val="0"/>
          <w:numId w:val="1004"/>
        </w:numPr>
      </w:pPr>
      <w:r>
        <w:t xml:space="preserve">Convergence rates in the legacy AT&amp;T footprint and newly acquired Lumen markets.</w:t>
      </w:r>
    </w:p>
    <w:p>
      <w:pPr>
        <w:pStyle w:val="Compact"/>
        <w:numPr>
          <w:ilvl w:val="0"/>
          <w:numId w:val="1004"/>
        </w:numPr>
      </w:pPr>
      <w:r>
        <w:t xml:space="preserve">Fiber revenue growth and any ARPU dilution from targeting more price-sensitive customers.</w:t>
      </w:r>
    </w:p>
    <w:p>
      <w:pPr>
        <w:pStyle w:val="Compact"/>
        <w:numPr>
          <w:ilvl w:val="0"/>
          <w:numId w:val="1004"/>
        </w:numPr>
      </w:pPr>
      <w:r>
        <w:t xml:space="preserve">Progress toward selling a controlling interest in the acquired fiber-network subsidiary to an equity partner during the second half.</w:t>
      </w:r>
    </w:p>
    <w:p>
      <w:pPr>
        <w:pStyle w:val="FirstParagraph"/>
      </w:pPr>
      <w:r>
        <w:t xml:space="preserve">In Q1, 42% of advanced home internet customers also had AT&amp;T wireless; excluding the newly acquired Lumen base, the organic convergence rate approached</w:t>
      </w:r>
      <w:r>
        <w:t xml:space="preserve"> </w:t>
      </w:r>
      <w:r>
        <w:rPr>
          <w:b/>
          <w:bCs/>
        </w:rPr>
        <w:t xml:space="preserve">45%</w:t>
      </w:r>
      <w:r>
        <w:t xml:space="preserve">, more than three percentage points higher year over year. A further increase would support management’s argument that fiber improves wireless retention and lifetime value. (</w:t>
      </w:r>
      <w:hyperlink r:id="rId13">
        <w:r>
          <w:rPr>
            <w:rStyle w:val="Hyperlink"/>
          </w:rPr>
          <w:t xml:space="preserve">investors.att.com</w:t>
        </w:r>
      </w:hyperlink>
      <w:r>
        <w:t xml:space="preserve">)</w:t>
      </w:r>
    </w:p>
    <w:bookmarkEnd w:id="17"/>
    <w:bookmarkStart w:id="18" w:name="Xfa062b98f60d87f86a6de37f11c7962a0d8f273"/>
    <w:p>
      <w:pPr>
        <w:pStyle w:val="Heading2"/>
      </w:pPr>
      <w:r>
        <w:t xml:space="preserve">3. EBITDA acceleration must outrun the legacy decline</w:t>
      </w:r>
    </w:p>
    <w:p>
      <w:pPr>
        <w:pStyle w:val="FirstParagraph"/>
      </w:pPr>
      <w:r>
        <w:t xml:space="preserve">AT&amp;T’s new segment reporting makes the central earnings tension clearer:</w:t>
      </w:r>
    </w:p>
    <w:p>
      <w:pPr>
        <w:pStyle w:val="Compact"/>
        <w:numPr>
          <w:ilvl w:val="0"/>
          <w:numId w:val="1005"/>
        </w:numPr>
      </w:pPr>
      <w:r>
        <w:rPr>
          <w:b/>
          <w:bCs/>
        </w:rPr>
        <w:t xml:space="preserve">Advanced Connectivity</w:t>
      </w:r>
      <w:r>
        <w:t xml:space="preserve"> </w:t>
      </w:r>
      <w:r>
        <w:t xml:space="preserve">Q1 service revenue grew 3.6%, while EBITDA grew 5.6%.</w:t>
      </w:r>
    </w:p>
    <w:p>
      <w:pPr>
        <w:pStyle w:val="Compact"/>
        <w:numPr>
          <w:ilvl w:val="0"/>
          <w:numId w:val="1005"/>
        </w:numPr>
      </w:pPr>
      <w:r>
        <w:rPr>
          <w:b/>
          <w:bCs/>
        </w:rPr>
        <w:t xml:space="preserve">Legacy</w:t>
      </w:r>
      <w:r>
        <w:t xml:space="preserve"> </w:t>
      </w:r>
      <w:r>
        <w:t xml:space="preserve">revenue declined 25.3%, and Legacy EBITDA fell 39.9%.</w:t>
      </w:r>
    </w:p>
    <w:p>
      <w:pPr>
        <w:pStyle w:val="FirstParagraph"/>
      </w:pPr>
      <w:r>
        <w:t xml:space="preserve">The legacy decline is intentional as AT&amp;T shuts down copper infrastructure, but revenue is currently disappearing faster than associated costs. Until more wire centers are fully decommissioned, Legacy will remain a significant earnings drag. (</w:t>
      </w:r>
      <w:hyperlink r:id="rId13">
        <w:r>
          <w:rPr>
            <w:rStyle w:val="Hyperlink"/>
          </w:rPr>
          <w:t xml:space="preserve">investors.att.com</w:t>
        </w:r>
      </w:hyperlink>
      <w:r>
        <w:t xml:space="preserve">)</w:t>
      </w:r>
    </w:p>
    <w:p>
      <w:pPr>
        <w:pStyle w:val="BodyText"/>
      </w:pPr>
      <w:r>
        <w:t xml:space="preserve">For Q2, investors should expect adjusted EBITDA of roughly</w:t>
      </w:r>
      <w:r>
        <w:t xml:space="preserve"> </w:t>
      </w:r>
      <w:r>
        <w:rPr>
          <w:b/>
          <w:bCs/>
        </w:rPr>
        <w:t xml:space="preserve">$12 billion or better</w:t>
      </w:r>
      <w:r>
        <w:t xml:space="preserve">, based on management’s commitment to improve on Q1's 2.3% growth rate and the $11.7 billion reported in Q2 2025.</w:t>
      </w:r>
    </w:p>
    <w:p>
      <w:pPr>
        <w:pStyle w:val="BodyText"/>
      </w:pPr>
      <w:r>
        <w:t xml:space="preserve">A high-quality result would include:</w:t>
      </w:r>
    </w:p>
    <w:p>
      <w:pPr>
        <w:pStyle w:val="Compact"/>
        <w:numPr>
          <w:ilvl w:val="0"/>
          <w:numId w:val="1006"/>
        </w:numPr>
      </w:pPr>
      <w:r>
        <w:t xml:space="preserve">Advanced Connectivity EBITDA growth consistent with the full-year</w:t>
      </w:r>
      <w:r>
        <w:t xml:space="preserve"> </w:t>
      </w:r>
      <w:r>
        <w:rPr>
          <w:b/>
          <w:bCs/>
        </w:rPr>
        <w:t xml:space="preserve">6%+</w:t>
      </w:r>
      <w:r>
        <w:t xml:space="preserve"> </w:t>
      </w:r>
      <w:r>
        <w:t xml:space="preserve">target.</w:t>
      </w:r>
    </w:p>
    <w:p>
      <w:pPr>
        <w:pStyle w:val="Compact"/>
        <w:numPr>
          <w:ilvl w:val="0"/>
          <w:numId w:val="1006"/>
        </w:numPr>
      </w:pPr>
      <w:r>
        <w:t xml:space="preserve">Consolidated EBITDA growth comfortably above Q1.</w:t>
      </w:r>
    </w:p>
    <w:p>
      <w:pPr>
        <w:pStyle w:val="Compact"/>
        <w:numPr>
          <w:ilvl w:val="0"/>
          <w:numId w:val="1006"/>
        </w:numPr>
      </w:pPr>
      <w:r>
        <w:t xml:space="preserve">Better cost absorption in acquired Lumen territories.</w:t>
      </w:r>
    </w:p>
    <w:p>
      <w:pPr>
        <w:pStyle w:val="Compact"/>
        <w:numPr>
          <w:ilvl w:val="0"/>
          <w:numId w:val="1006"/>
        </w:numPr>
      </w:pPr>
      <w:r>
        <w:t xml:space="preserve">Continued stabilization in advanced business connectivity.</w:t>
      </w:r>
    </w:p>
    <w:p>
      <w:pPr>
        <w:pStyle w:val="Compact"/>
        <w:numPr>
          <w:ilvl w:val="0"/>
          <w:numId w:val="1006"/>
        </w:numPr>
      </w:pPr>
      <w:r>
        <w:t xml:space="preserve">Evidence that AT&amp;T remains on track for</w:t>
      </w:r>
      <w:r>
        <w:t xml:space="preserve"> </w:t>
      </w:r>
      <w:r>
        <w:rPr>
          <w:b/>
          <w:bCs/>
        </w:rPr>
        <w:t xml:space="preserve">$4 billion of annual cost savings by the end of 2028</w:t>
      </w:r>
      <w:r>
        <w:t xml:space="preserve">.</w:t>
      </w:r>
    </w:p>
    <w:p>
      <w:pPr>
        <w:pStyle w:val="FirstParagraph"/>
      </w:pPr>
      <w:r>
        <w:t xml:space="preserve">An EPS beat caused mainly by below-the-line items or temporary cost timing would be less persuasive than a beat driven by service revenue and segment EBITDA.</w:t>
      </w:r>
    </w:p>
    <w:bookmarkEnd w:id="18"/>
    <w:bookmarkStart w:id="20" w:name="Xae3aa2d59fe09e86d9ff3af1e6fb3ebb98a38d9"/>
    <w:p>
      <w:pPr>
        <w:pStyle w:val="Heading2"/>
      </w:pPr>
      <w:r>
        <w:t xml:space="preserve">4. Free cash flow, leverage and capital allocation</w:t>
      </w:r>
    </w:p>
    <w:p>
      <w:pPr>
        <w:pStyle w:val="FirstParagraph"/>
      </w:pPr>
      <w:r>
        <w:t xml:space="preserve">AT&amp;T generated</w:t>
      </w:r>
      <w:r>
        <w:t xml:space="preserve"> </w:t>
      </w:r>
      <m:oMath>
        <m:r>
          <m:t>2.5</m:t>
        </m:r>
        <m:r>
          <m:t>b</m:t>
        </m:r>
        <m:r>
          <m:t>i</m:t>
        </m:r>
        <m:r>
          <m:t>l</m:t>
        </m:r>
        <m:r>
          <m:t>l</m:t>
        </m:r>
        <m:r>
          <m:t>i</m:t>
        </m:r>
        <m:r>
          <m:t>o</m:t>
        </m:r>
        <m:r>
          <m:t>n</m:t>
        </m:r>
        <m:r>
          <m:t>o</m:t>
        </m:r>
        <m:r>
          <m:t>f</m:t>
        </m:r>
        <m:r>
          <m:t>f</m:t>
        </m:r>
        <m:r>
          <m:t>r</m:t>
        </m:r>
        <m:r>
          <m:t>e</m:t>
        </m:r>
        <m:r>
          <m:t>e</m:t>
        </m:r>
        <m:r>
          <m:t>c</m:t>
        </m:r>
        <m:r>
          <m:t>a</m:t>
        </m:r>
        <m:r>
          <m:t>s</m:t>
        </m:r>
        <m:r>
          <m:t>h</m:t>
        </m:r>
        <m:r>
          <m:t>f</m:t>
        </m:r>
        <m:r>
          <m:t>l</m:t>
        </m:r>
        <m:r>
          <m:t>o</m:t>
        </m:r>
        <m:r>
          <m:t>w</m:t>
        </m:r>
        <m:r>
          <m:t>i</m:t>
        </m:r>
        <m:r>
          <m:t>n</m:t>
        </m:r>
        <m:r>
          <m:t>Q</m:t>
        </m:r>
        <m:r>
          <m:t>1</m:t>
        </m:r>
        <m:r>
          <m:rPr>
            <m:sty m:val="p"/>
          </m:rPr>
          <m:t>,</m:t>
        </m:r>
        <m:r>
          <m:t>a</m:t>
        </m:r>
        <m:r>
          <m:t>t</m:t>
        </m:r>
        <m:r>
          <m:t>t</m:t>
        </m:r>
        <m:r>
          <m:t>h</m:t>
        </m:r>
        <m:r>
          <m:t>e</m:t>
        </m:r>
        <m:r>
          <m:t>h</m:t>
        </m:r>
        <m:r>
          <m:t>i</m:t>
        </m:r>
        <m:r>
          <m:t>g</m:t>
        </m:r>
        <m:r>
          <m:t>h</m:t>
        </m:r>
        <m:r>
          <m:t>e</m:t>
        </m:r>
        <m:r>
          <m:t>n</m:t>
        </m:r>
        <m:r>
          <m:t>d</m:t>
        </m:r>
        <m:r>
          <m:t>o</m:t>
        </m:r>
        <m:r>
          <m:t>f</m:t>
        </m:r>
        <m:r>
          <m:t>i</m:t>
        </m:r>
        <m:r>
          <m:t>t</m:t>
        </m:r>
        <m:r>
          <m:t>s</m:t>
        </m:r>
        <m:r>
          <m:t>g</m:t>
        </m:r>
        <m:r>
          <m:t>u</m:t>
        </m:r>
        <m:r>
          <m:t>i</m:t>
        </m:r>
        <m:r>
          <m:t>d</m:t>
        </m:r>
        <m:r>
          <m:t>a</m:t>
        </m:r>
        <m:r>
          <m:t>n</m:t>
        </m:r>
        <m:r>
          <m:t>c</m:t>
        </m:r>
        <m:r>
          <m:t>e</m:t>
        </m:r>
        <m:r>
          <m:rPr>
            <m:sty m:val="p"/>
          </m:rPr>
          <m:t>,</m:t>
        </m:r>
        <m:r>
          <m:t>d</m:t>
        </m:r>
        <m:r>
          <m:t>e</m:t>
        </m:r>
        <m:r>
          <m:t>s</m:t>
        </m:r>
        <m:r>
          <m:t>p</m:t>
        </m:r>
        <m:r>
          <m:t>i</m:t>
        </m:r>
        <m:r>
          <m:t>t</m:t>
        </m:r>
        <m:r>
          <m:t>e</m:t>
        </m:r>
        <m:r>
          <m:t>h</m:t>
        </m:r>
        <m:r>
          <m:t>i</m:t>
        </m:r>
        <m:r>
          <m:t>g</m:t>
        </m:r>
        <m:r>
          <m:t>h</m:t>
        </m:r>
        <m:r>
          <m:t>e</m:t>
        </m:r>
        <m:r>
          <m:t>r</m:t>
        </m:r>
        <m:r>
          <m:t>f</m:t>
        </m:r>
        <m:r>
          <m:t>i</m:t>
        </m:r>
        <m:r>
          <m:t>b</m:t>
        </m:r>
        <m:r>
          <m:t>e</m:t>
        </m:r>
        <m:r>
          <m:t>r</m:t>
        </m:r>
        <m:r>
          <m:t>i</m:t>
        </m:r>
        <m:r>
          <m:t>n</m:t>
        </m:r>
        <m:r>
          <m:t>v</m:t>
        </m:r>
        <m:r>
          <m:t>e</m:t>
        </m:r>
        <m:r>
          <m:t>s</m:t>
        </m:r>
        <m:r>
          <m:t>t</m:t>
        </m:r>
        <m:r>
          <m:t>m</m:t>
        </m:r>
        <m:r>
          <m:t>e</m:t>
        </m:r>
        <m:r>
          <m:t>n</m:t>
        </m:r>
        <m:r>
          <m:t>t</m:t>
        </m:r>
        <m:r>
          <m:rPr>
            <m:sty m:val="p"/>
          </m:rPr>
          <m:t>.</m:t>
        </m:r>
        <m:r>
          <m:t>T</m:t>
        </m:r>
        <m:r>
          <m:t>h</m:t>
        </m:r>
        <m:r>
          <m:t>e</m:t>
        </m:r>
        <m:r>
          <m:t>c</m:t>
        </m:r>
        <m:r>
          <m:t>o</m:t>
        </m:r>
        <m:r>
          <m:t>m</m:t>
        </m:r>
        <m:r>
          <m:t>p</m:t>
        </m:r>
        <m:r>
          <m:t>a</m:t>
        </m:r>
        <m:r>
          <m:t>n</m:t>
        </m:r>
        <m:r>
          <m:t>y</m:t>
        </m:r>
        <m:r>
          <m:t>e</m:t>
        </m:r>
        <m:r>
          <m:t>x</m:t>
        </m:r>
        <m:r>
          <m:t>p</m:t>
        </m:r>
        <m:r>
          <m:t>e</m:t>
        </m:r>
        <m:r>
          <m:t>c</m:t>
        </m:r>
        <m:r>
          <m:t>t</m:t>
        </m:r>
        <m:r>
          <m:t>s</m:t>
        </m:r>
        <m:r>
          <m:rPr>
            <m:sty m:val="p"/>
          </m:rPr>
          <m:t>*</m:t>
        </m:r>
        <m:r>
          <m:rPr>
            <m:sty m:val="p"/>
          </m:rPr>
          <m:t>*</m:t>
        </m:r>
      </m:oMath>
      <w:r>
        <w:t xml:space="preserve">4.0–</w:t>
      </w:r>
      <m:oMath>
        <m:r>
          <m:t>4.5</m:t>
        </m:r>
        <m:r>
          <m:t>b</m:t>
        </m:r>
        <m:r>
          <m:t>i</m:t>
        </m:r>
        <m:r>
          <m:t>l</m:t>
        </m:r>
        <m:r>
          <m:t>l</m:t>
        </m:r>
        <m:r>
          <m:t>i</m:t>
        </m:r>
        <m:r>
          <m:t>o</m:t>
        </m:r>
        <m:r>
          <m:t>n</m:t>
        </m:r>
        <m:r>
          <m:t>i</m:t>
        </m:r>
        <m:r>
          <m:t>n</m:t>
        </m:r>
        <m:r>
          <m:t>Q</m:t>
        </m:r>
        <m:r>
          <m:t>2</m:t>
        </m:r>
        <m:r>
          <m:rPr>
            <m:sty m:val="p"/>
          </m:rPr>
          <m:t>*</m:t>
        </m:r>
        <m:r>
          <m:rPr>
            <m:sty m:val="p"/>
          </m:rPr>
          <m:t>*</m:t>
        </m:r>
        <m:r>
          <m:t>a</m:t>
        </m:r>
        <m:r>
          <m:t>n</m:t>
        </m:r>
        <m:r>
          <m:t>d</m:t>
        </m:r>
        <m:r>
          <m:t>m</m:t>
        </m:r>
        <m:r>
          <m:t>o</m:t>
        </m:r>
        <m:r>
          <m:t>r</m:t>
        </m:r>
        <m:r>
          <m:t>e</m:t>
        </m:r>
        <m:r>
          <m:t>t</m:t>
        </m:r>
        <m:r>
          <m:t>h</m:t>
        </m:r>
        <m:r>
          <m:t>a</m:t>
        </m:r>
        <m:r>
          <m:t>n</m:t>
        </m:r>
        <m:r>
          <m:rPr>
            <m:sty m:val="p"/>
          </m:rPr>
          <m:t>*</m:t>
        </m:r>
        <m:r>
          <m:rPr>
            <m:sty m:val="p"/>
          </m:rPr>
          <m:t>*</m:t>
        </m:r>
      </m:oMath>
      <w:r>
        <w:t xml:space="preserve">18 billion for 2026**. Full-year capital investment is expected to be</w:t>
      </w:r>
      <w:r>
        <w:t xml:space="preserve"> </w:t>
      </w:r>
      <m:oMath>
        <m:r>
          <m:t>23</m:t>
        </m:r>
        <m:r>
          <m:rPr>
            <m:sty m:val="p"/>
          </m:rPr>
          <m:t>–</m:t>
        </m:r>
      </m:oMath>
      <w:r>
        <w:t xml:space="preserve">24 billion. (</w:t>
      </w:r>
      <w:hyperlink r:id="rId13">
        <w:r>
          <w:rPr>
            <w:rStyle w:val="Hyperlink"/>
          </w:rPr>
          <w:t xml:space="preserve">investors.att.com</w:t>
        </w:r>
      </w:hyperlink>
      <w:r>
        <w:t xml:space="preserve">)</w:t>
      </w:r>
    </w:p>
    <w:p>
      <w:pPr>
        <w:pStyle w:val="BodyText"/>
      </w:pPr>
      <w:r>
        <w:t xml:space="preserve">The balance sheet remains important because AT&amp;T expects leverage to rise following its approximately</w:t>
      </w:r>
      <w:r>
        <w:t xml:space="preserve"> </w:t>
      </w:r>
      <w:r>
        <w:rPr>
          <w:b/>
          <w:bCs/>
        </w:rPr>
        <w:t xml:space="preserve">$23 billion EchoStar spectrum acquisition</w:t>
      </w:r>
      <w:r>
        <w:t xml:space="preserve">. The FCC approved the spectrum transfer in May, but AT&amp;T’s latest disclosures continued to discuss the transaction as pending. Management expects net debt to adjusted EBITDA to reach approximately 3.2 times after closing, decline to about 3 times by year-end and return to the 2.5-times target area within roughly three years. (</w:t>
      </w:r>
      <w:hyperlink r:id="rId19">
        <w:r>
          <w:rPr>
            <w:rStyle w:val="Hyperlink"/>
          </w:rPr>
          <w:t xml:space="preserve">attconnects.com</w:t>
        </w:r>
      </w:hyperlink>
      <w:r>
        <w:t xml:space="preserve">)</w:t>
      </w:r>
    </w:p>
    <w:p>
      <w:pPr>
        <w:pStyle w:val="BodyText"/>
      </w:pPr>
      <w:r>
        <w:t xml:space="preserve">Questions for the call include:</w:t>
      </w:r>
    </w:p>
    <w:p>
      <w:pPr>
        <w:pStyle w:val="Compact"/>
        <w:numPr>
          <w:ilvl w:val="0"/>
          <w:numId w:val="1007"/>
        </w:numPr>
      </w:pPr>
      <w:r>
        <w:t xml:space="preserve">Is $18 billion-plus of 2026 free cash flow now more likely to land near the floor or meaningfully above it?</w:t>
      </w:r>
    </w:p>
    <w:p>
      <w:pPr>
        <w:pStyle w:val="Compact"/>
        <w:numPr>
          <w:ilvl w:val="0"/>
          <w:numId w:val="1007"/>
        </w:numPr>
      </w:pPr>
      <w:r>
        <w:t xml:space="preserve">Has the timing of the EchoStar closing changed?</w:t>
      </w:r>
    </w:p>
    <w:p>
      <w:pPr>
        <w:pStyle w:val="Compact"/>
        <w:numPr>
          <w:ilvl w:val="0"/>
          <w:numId w:val="1007"/>
        </w:numPr>
      </w:pPr>
      <w:r>
        <w:t xml:space="preserve">Does EchoStar-related debt affect the pace of buybacks?</w:t>
      </w:r>
    </w:p>
    <w:p>
      <w:pPr>
        <w:pStyle w:val="Compact"/>
        <w:numPr>
          <w:ilvl w:val="0"/>
          <w:numId w:val="1007"/>
        </w:numPr>
      </w:pPr>
      <w:r>
        <w:t xml:space="preserve">Is the company still comfortable repurchasing approximately</w:t>
      </w:r>
      <w:r>
        <w:t xml:space="preserve"> </w:t>
      </w:r>
      <w:r>
        <w:rPr>
          <w:b/>
          <w:bCs/>
        </w:rPr>
        <w:t xml:space="preserve">$8 billion</w:t>
      </w:r>
      <w:r>
        <w:t xml:space="preserve"> </w:t>
      </w:r>
      <w:r>
        <w:t xml:space="preserve">of stock in 2026?</w:t>
      </w:r>
    </w:p>
    <w:p>
      <w:pPr>
        <w:pStyle w:val="Compact"/>
        <w:numPr>
          <w:ilvl w:val="0"/>
          <w:numId w:val="1007"/>
        </w:numPr>
      </w:pPr>
      <w:r>
        <w:t xml:space="preserve">Is the Lumen equity-partner transaction on schedule for the second half?</w:t>
      </w:r>
    </w:p>
    <w:p>
      <w:pPr>
        <w:pStyle w:val="FirstParagraph"/>
      </w:pPr>
      <w:r>
        <w:t xml:space="preserve">At the current share price, buybacks are potentially highly accretive, but only if management can execute them without compromising its leverage targets.</w:t>
      </w:r>
    </w:p>
    <w:bookmarkEnd w:id="20"/>
    <w:bookmarkStart w:id="21" w:name="Xc0bde53b1b8c3ad221ab18453523d7af4e77b5e"/>
    <w:p>
      <w:pPr>
        <w:pStyle w:val="Heading2"/>
      </w:pPr>
      <w:r>
        <w:t xml:space="preserve">5. The SpaceX and satellite overhang</w:t>
      </w:r>
    </w:p>
    <w:p>
      <w:pPr>
        <w:pStyle w:val="FirstParagraph"/>
      </w:pPr>
      <w:r>
        <w:t xml:space="preserve">AT&amp;T shares sold off sharply in late June and early July after reports that Charter had discussed a potential consumer mobile partnership with SpaceX. Analysts subsequently cut price targets, although views differed on whether satellite connectivity represents an imminent substitute for terrestrial networks or primarily a complementary service.</w:t>
      </w:r>
    </w:p>
    <w:p>
      <w:pPr>
        <w:pStyle w:val="BodyText"/>
      </w:pPr>
      <w:r>
        <w:t xml:space="preserve">Management will almost certainly be asked about:</w:t>
      </w:r>
    </w:p>
    <w:p>
      <w:pPr>
        <w:pStyle w:val="Compact"/>
        <w:numPr>
          <w:ilvl w:val="0"/>
          <w:numId w:val="1008"/>
        </w:numPr>
      </w:pPr>
      <w:r>
        <w:t xml:space="preserve">The realistic timeline for direct-to-device satellite competition.</w:t>
      </w:r>
    </w:p>
    <w:p>
      <w:pPr>
        <w:pStyle w:val="Compact"/>
        <w:numPr>
          <w:ilvl w:val="0"/>
          <w:numId w:val="1008"/>
        </w:numPr>
      </w:pPr>
      <w:r>
        <w:t xml:space="preserve">Whether AT&amp;T would consider wholesale relationships with additional satellite providers.</w:t>
      </w:r>
    </w:p>
    <w:p>
      <w:pPr>
        <w:pStyle w:val="Compact"/>
        <w:numPr>
          <w:ilvl w:val="0"/>
          <w:numId w:val="1008"/>
        </w:numPr>
      </w:pPr>
      <w:r>
        <w:t xml:space="preserve">Its existing relationship with AST SpaceMobile.</w:t>
      </w:r>
    </w:p>
    <w:p>
      <w:pPr>
        <w:pStyle w:val="Compact"/>
        <w:numPr>
          <w:ilvl w:val="0"/>
          <w:numId w:val="1008"/>
        </w:numPr>
      </w:pPr>
      <w:r>
        <w:t xml:space="preserve">The risk to Internet Air in rural markets.</w:t>
      </w:r>
    </w:p>
    <w:p>
      <w:pPr>
        <w:pStyle w:val="Compact"/>
        <w:numPr>
          <w:ilvl w:val="0"/>
          <w:numId w:val="1008"/>
        </w:numPr>
      </w:pPr>
      <w:r>
        <w:t xml:space="preserve">Whether satellite changes the expected return on fiber or EchoStar spectrum.</w:t>
      </w:r>
    </w:p>
    <w:p>
      <w:pPr>
        <w:pStyle w:val="Compact"/>
        <w:numPr>
          <w:ilvl w:val="0"/>
          <w:numId w:val="1008"/>
        </w:numPr>
      </w:pPr>
      <w:r>
        <w:t xml:space="preserve">The possibility of a Charter-SpaceX offering putting further pressure on wireless pricing.</w:t>
      </w:r>
    </w:p>
    <w:p>
      <w:pPr>
        <w:pStyle w:val="FirstParagraph"/>
      </w:pPr>
      <w:r>
        <w:t xml:space="preserve">The best response would be concrete: product timelines, network integration plans and an explanation of where satellite complements rather than replaces fiber and terrestrial mobile service. Simply arguing that satellite works poorly indoors will probably not be enough to remove the stock’s overhang.</w:t>
      </w:r>
    </w:p>
    <w:bookmarkEnd w:id="21"/>
    <w:bookmarkStart w:id="23" w:name="X8bccfed080a92aaf692d7bf6b4d9dc2a15aca56"/>
    <w:p>
      <w:pPr>
        <w:pStyle w:val="Heading2"/>
      </w:pPr>
      <w:r>
        <w:t xml:space="preserve">6. Guidance is more important than the quarterly beat</w:t>
      </w:r>
    </w:p>
    <w:p>
      <w:pPr>
        <w:pStyle w:val="FirstParagraph"/>
      </w:pPr>
      <w:r>
        <w:t xml:space="preserve">AT&amp;T’s current 2026 outlook calls for:</w:t>
      </w:r>
    </w:p>
    <w:p>
      <w:pPr>
        <w:pStyle w:val="Compact"/>
        <w:numPr>
          <w:ilvl w:val="0"/>
          <w:numId w:val="1009"/>
        </w:numPr>
      </w:pPr>
      <w:r>
        <w:t xml:space="preserve">Low-single-digit consolidated service-revenue growth.</w:t>
      </w:r>
    </w:p>
    <w:p>
      <w:pPr>
        <w:pStyle w:val="Compact"/>
        <w:numPr>
          <w:ilvl w:val="0"/>
          <w:numId w:val="1009"/>
        </w:numPr>
      </w:pPr>
      <w:r>
        <w:t xml:space="preserve">Advanced Connectivity service-revenue growth of</w:t>
      </w:r>
      <w:r>
        <w:t xml:space="preserve"> </w:t>
      </w:r>
      <w:r>
        <w:rPr>
          <w:b/>
          <w:bCs/>
        </w:rPr>
        <w:t xml:space="preserve">5%+</w:t>
      </w:r>
      <w:r>
        <w:t xml:space="preserve">.</w:t>
      </w:r>
    </w:p>
    <w:p>
      <w:pPr>
        <w:pStyle w:val="Compact"/>
        <w:numPr>
          <w:ilvl w:val="0"/>
          <w:numId w:val="1009"/>
        </w:numPr>
      </w:pPr>
      <w:r>
        <w:t xml:space="preserve">Legacy service-revenue decline of</w:t>
      </w:r>
      <w:r>
        <w:t xml:space="preserve"> </w:t>
      </w:r>
      <w:r>
        <w:rPr>
          <w:b/>
          <w:bCs/>
        </w:rPr>
        <w:t xml:space="preserve">20%+</w:t>
      </w:r>
      <w:r>
        <w:t xml:space="preserve">.</w:t>
      </w:r>
    </w:p>
    <w:p>
      <w:pPr>
        <w:pStyle w:val="Compact"/>
        <w:numPr>
          <w:ilvl w:val="0"/>
          <w:numId w:val="1009"/>
        </w:numPr>
      </w:pPr>
      <w:r>
        <w:t xml:space="preserve">Adjusted EBITDA growth of</w:t>
      </w:r>
      <w:r>
        <w:t xml:space="preserve"> </w:t>
      </w:r>
      <w:r>
        <w:rPr>
          <w:b/>
          <w:bCs/>
        </w:rPr>
        <w:t xml:space="preserve">3%–4%</w:t>
      </w:r>
      <w:r>
        <w:t xml:space="preserve">.</w:t>
      </w:r>
    </w:p>
    <w:p>
      <w:pPr>
        <w:pStyle w:val="Compact"/>
        <w:numPr>
          <w:ilvl w:val="0"/>
          <w:numId w:val="1009"/>
        </w:numPr>
      </w:pPr>
      <w:r>
        <w:t xml:space="preserve">Advanced Connectivity EBITDA growth of</w:t>
      </w:r>
      <w:r>
        <w:t xml:space="preserve"> </w:t>
      </w:r>
      <w:r>
        <w:rPr>
          <w:b/>
          <w:bCs/>
        </w:rPr>
        <w:t xml:space="preserve">6%+</w:t>
      </w:r>
      <w:r>
        <w:t xml:space="preserve">.</w:t>
      </w:r>
    </w:p>
    <w:p>
      <w:pPr>
        <w:pStyle w:val="Compact"/>
        <w:numPr>
          <w:ilvl w:val="0"/>
          <w:numId w:val="1009"/>
        </w:numPr>
      </w:pPr>
      <w:r>
        <w:t xml:space="preserve">Adjusted EPS of</w:t>
      </w:r>
      <w:r>
        <w:t xml:space="preserve"> </w:t>
      </w:r>
      <m:oMath>
        <m:r>
          <m:t>2.25</m:t>
        </m:r>
        <m:r>
          <m:rPr>
            <m:sty m:val="p"/>
          </m:rPr>
          <m:t>–</m:t>
        </m:r>
      </m:oMath>
      <w:r>
        <w:rPr>
          <w:b/>
          <w:bCs/>
        </w:rPr>
        <w:t xml:space="preserve">2.35</w:t>
      </w:r>
      <w:r>
        <w:t xml:space="preserve">.</w:t>
      </w:r>
    </w:p>
    <w:p>
      <w:pPr>
        <w:pStyle w:val="Compact"/>
        <w:numPr>
          <w:ilvl w:val="0"/>
          <w:numId w:val="1009"/>
        </w:numPr>
      </w:pPr>
      <w:r>
        <w:t xml:space="preserve">Free cash flow of</w:t>
      </w:r>
      <w:r>
        <w:t xml:space="preserve"> </w:t>
      </w:r>
      <w:r>
        <w:rPr>
          <w:b/>
          <w:bCs/>
        </w:rPr>
        <w:t xml:space="preserve">$18 billion+</w:t>
      </w:r>
      <w:r>
        <w:t xml:space="preserve">.</w:t>
      </w:r>
    </w:p>
    <w:p>
      <w:pPr>
        <w:pStyle w:val="Compact"/>
        <w:numPr>
          <w:ilvl w:val="0"/>
          <w:numId w:val="1009"/>
        </w:numPr>
      </w:pPr>
      <w:r>
        <w:t xml:space="preserve">Capital investment of</w:t>
      </w:r>
      <w:r>
        <w:t xml:space="preserve"> </w:t>
      </w:r>
      <m:oMath>
        <m:r>
          <m:t>23</m:t>
        </m:r>
        <m:r>
          <m:rPr>
            <m:sty m:val="p"/>
          </m:rPr>
          <m:t>–</m:t>
        </m:r>
      </m:oMath>
      <w:r>
        <w:rPr>
          <w:b/>
          <w:bCs/>
        </w:rPr>
        <w:t xml:space="preserve">24 billion</w:t>
      </w:r>
      <w:r>
        <w:t xml:space="preserve">.</w:t>
      </w:r>
    </w:p>
    <w:p>
      <w:pPr>
        <w:pStyle w:val="Compact"/>
        <w:numPr>
          <w:ilvl w:val="0"/>
          <w:numId w:val="1009"/>
        </w:numPr>
      </w:pPr>
      <w:r>
        <w:t xml:space="preserve">Approximately</w:t>
      </w:r>
      <w:r>
        <w:t xml:space="preserve"> </w:t>
      </w:r>
      <w:r>
        <w:rPr>
          <w:b/>
          <w:bCs/>
        </w:rPr>
        <w:t xml:space="preserve">$8 billion of share repurchases</w:t>
      </w:r>
      <w:r>
        <w:t xml:space="preserve">.</w:t>
      </w:r>
    </w:p>
    <w:p>
      <w:pPr>
        <w:pStyle w:val="Compact"/>
        <w:numPr>
          <w:ilvl w:val="0"/>
          <w:numId w:val="1009"/>
        </w:numPr>
      </w:pPr>
      <w:r>
        <w:t xml:space="preserve">Maintenance of the annualized</w:t>
      </w:r>
      <w:r>
        <w:t xml:space="preserve"> </w:t>
      </w:r>
      <w:r>
        <w:rPr>
          <w:b/>
          <w:bCs/>
        </w:rPr>
        <w:t xml:space="preserve">$1.11 dividend</w:t>
      </w:r>
      <w:r>
        <w:t xml:space="preserve">. (</w:t>
      </w:r>
      <w:hyperlink r:id="rId22">
        <w:r>
          <w:rPr>
            <w:rStyle w:val="Hyperlink"/>
          </w:rPr>
          <w:t xml:space="preserve">about.att.com</w:t>
        </w:r>
      </w:hyperlink>
      <w:r>
        <w:t xml:space="preserve">)</w:t>
      </w:r>
    </w:p>
    <w:p>
      <w:pPr>
        <w:pStyle w:val="FirstParagraph"/>
      </w:pPr>
      <w:r>
        <w:t xml:space="preserve">The June reaffirmation lowers the likelihood of a major Q2 disappointment, but it also raises the bar for management to deliver the promised acceleration. A simple reiteration should be adequate if the operating metrics are strong. If subscriber growth or churn disappoints, investors may interpret unchanged guidance as increasingly back-end loaded.</w:t>
      </w:r>
    </w:p>
    <w:bookmarkEnd w:id="23"/>
    <w:bookmarkStart w:id="25" w:name="management-transition"/>
    <w:p>
      <w:pPr>
        <w:pStyle w:val="Heading2"/>
      </w:pPr>
      <w:r>
        <w:t xml:space="preserve">Management transition</w:t>
      </w:r>
    </w:p>
    <w:p>
      <w:pPr>
        <w:pStyle w:val="FirstParagraph"/>
      </w:pPr>
      <w:r>
        <w:t xml:space="preserve">Pascal Desroches plans to retire as CFO on December 31, 2026. Jennifer Biry became deputy CFO on July 6 and is scheduled to assume the CFO role on January 1, 2027. She previously served as WarnerMedia CFO and later as CFO and COO of McAfee. Investors should listen for whether Biry participates in the call and whether the transition changes any capital-allocation or reporting priorities. (</w:t>
      </w:r>
      <w:hyperlink r:id="rId24">
        <w:r>
          <w:rPr>
            <w:rStyle w:val="Hyperlink"/>
          </w:rPr>
          <w:t xml:space="preserve">sec.gov</w:t>
        </w:r>
      </w:hyperlink>
      <w:r>
        <w:t xml:space="preserve">)</w:t>
      </w:r>
    </w:p>
    <w:bookmarkEnd w:id="25"/>
    <w:bookmarkStart w:id="26" w:name="earnings-day-scorecard"/>
    <w:p>
      <w:pPr>
        <w:pStyle w:val="Heading2"/>
      </w:pPr>
      <w:r>
        <w:t xml:space="preserve">Earnings-day scorecard</w:t>
      </w:r>
    </w:p>
    <w:p>
      <w:pPr>
        <w:pStyle w:val="FirstParagraph"/>
      </w:pPr>
      <w:r>
        <w:t xml:space="preserve">The following are analytical thresholds rather than published consensus estimates: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Indicators</w:t>
            </w:r>
          </w:p>
        </w:tc>
      </w:tr>
      <w:tr>
        <w:tc>
          <w:tcPr/>
          <w:p>
            <w:pPr>
              <w:pStyle w:val="Compact"/>
            </w:pPr>
            <w:r>
              <w:rPr>
                <w:b/>
                <w:bCs/>
              </w:rPr>
              <w:t xml:space="preserve">Bullish</w:t>
            </w:r>
          </w:p>
        </w:tc>
        <w:tc>
          <w:tcPr/>
          <w:p>
            <w:pPr>
              <w:pStyle w:val="Compact"/>
            </w:pPr>
            <w:r>
              <w:t xml:space="preserve">EPS of $0.61+, revenue above $32.1B, FCF near or above $4.5B, 350K+ phone additions, churn at or below 0.90%, fiber additions above 320K, and confident full-year guidance</w:t>
            </w:r>
          </w:p>
        </w:tc>
      </w:tr>
      <w:tr>
        <w:tc>
          <w:tcPr/>
          <w:p>
            <w:pPr>
              <w:pStyle w:val="Compact"/>
            </w:pPr>
            <w:r>
              <w:rPr>
                <w:b/>
                <w:bCs/>
              </w:rPr>
              <w:t xml:space="preserve">Neutral / acceptable</w:t>
            </w:r>
          </w:p>
        </w:tc>
        <w:tc>
          <w:tcPr/>
          <w:p>
            <w:pPr>
              <w:pStyle w:val="Compact"/>
            </w:pPr>
            <w:r>
              <w:t xml:space="preserve">EPS of</w:t>
            </w:r>
            <w:r>
              <w:t xml:space="preserve"> </w:t>
            </w:r>
            <m:oMath>
              <m:r>
                <m:t>0.59</m:t>
              </m:r>
              <m:r>
                <m:rPr>
                  <m:sty m:val="p"/>
                </m:rPr>
                <m:t>–</m:t>
              </m:r>
            </m:oMath>
            <w:r>
              <w:t xml:space="preserve">0.60, FCF within</w:t>
            </w:r>
            <w:r>
              <w:t xml:space="preserve"> </w:t>
            </w:r>
            <m:oMath>
              <m:r>
                <m:t>4.0</m:t>
              </m:r>
              <m:r>
                <m:rPr>
                  <m:sty m:val="p"/>
                </m:rPr>
                <m:t>–</m:t>
              </m:r>
            </m:oMath>
            <w:r>
              <w:t xml:space="preserve">4.5B, 250K–350K phone additions, fiber additions around 290K–320K, and all major guidance reaffirmed</w:t>
            </w:r>
          </w:p>
        </w:tc>
      </w:tr>
      <w:tr>
        <w:tc>
          <w:tcPr/>
          <w:p>
            <w:pPr>
              <w:pStyle w:val="Compact"/>
            </w:pPr>
            <w:r>
              <w:rPr>
                <w:b/>
                <w:bCs/>
              </w:rPr>
              <w:t xml:space="preserve">Bearish</w:t>
            </w:r>
          </w:p>
        </w:tc>
        <w:tc>
          <w:tcPr/>
          <w:p>
            <w:pPr>
              <w:pStyle w:val="Compact"/>
            </w:pPr>
            <w:r>
              <w:t xml:space="preserve">EPS of $0.57 or less, FCF below $4B, phone additions below 200K or churn above 0.95%, fiber additions below roughly 275K, weaker buybacks, or more back-end-loaded guidance</w:t>
            </w:r>
          </w:p>
        </w:tc>
      </w:tr>
    </w:tbl>
    <w:bookmarkEnd w:id="26"/>
    <w:bookmarkStart w:id="27" w:name="bottom-line"/>
    <w:p>
      <w:pPr>
        <w:pStyle w:val="Heading2"/>
      </w:pPr>
      <w:r>
        <w:t xml:space="preserve">Bottom line</w:t>
      </w:r>
    </w:p>
    <w:p>
      <w:pPr>
        <w:pStyle w:val="FirstParagraph"/>
      </w:pPr>
      <w:r>
        <w:t xml:space="preserve">AT&amp;T enters Q2 with a low valuation, a roughly 5% dividend yield and management having reaffirmed its outlook only six weeks ago. That creates a reasonable setup for an earnings beat, but</w:t>
      </w:r>
      <w:r>
        <w:t xml:space="preserve"> </w:t>
      </w:r>
      <w:r>
        <w:rPr>
          <w:b/>
          <w:bCs/>
        </w:rPr>
        <w:t xml:space="preserve">a headline beat alone may not be enough</w:t>
      </w:r>
      <w:r>
        <w:t xml:space="preserve">.</w:t>
      </w:r>
    </w:p>
    <w:p>
      <w:pPr>
        <w:pStyle w:val="BodyText"/>
      </w:pPr>
      <w:r>
        <w:t xml:space="preserve">The most constructive report would show:</w:t>
      </w:r>
    </w:p>
    <w:p>
      <w:pPr>
        <w:pStyle w:val="Compact"/>
        <w:numPr>
          <w:ilvl w:val="0"/>
          <w:numId w:val="1010"/>
        </w:numPr>
      </w:pPr>
      <w:r>
        <w:t xml:space="preserve">Wireless revenue accelerating with controlled churn.</w:t>
      </w:r>
    </w:p>
    <w:p>
      <w:pPr>
        <w:pStyle w:val="Compact"/>
        <w:numPr>
          <w:ilvl w:val="0"/>
          <w:numId w:val="1010"/>
        </w:numPr>
      </w:pPr>
      <w:r>
        <w:t xml:space="preserve">Fiber additions moving above 300,000.</w:t>
      </w:r>
    </w:p>
    <w:p>
      <w:pPr>
        <w:pStyle w:val="Compact"/>
        <w:numPr>
          <w:ilvl w:val="0"/>
          <w:numId w:val="1010"/>
        </w:numPr>
      </w:pPr>
      <w:r>
        <w:t xml:space="preserve">Higher convergence in both organic and acquired markets.</w:t>
      </w:r>
    </w:p>
    <w:p>
      <w:pPr>
        <w:pStyle w:val="Compact"/>
        <w:numPr>
          <w:ilvl w:val="0"/>
          <w:numId w:val="1010"/>
        </w:numPr>
      </w:pPr>
      <w:r>
        <w:t xml:space="preserve">Consolidated EBITDA growth clearly improving from Q1.</w:t>
      </w:r>
    </w:p>
    <w:p>
      <w:pPr>
        <w:pStyle w:val="Compact"/>
        <w:numPr>
          <w:ilvl w:val="0"/>
          <w:numId w:val="1010"/>
        </w:numPr>
      </w:pPr>
      <w:r>
        <w:t xml:space="preserve">Free cash flow at the upper end of the</w:t>
      </w:r>
      <w:r>
        <w:t xml:space="preserve"> </w:t>
      </w:r>
      <m:oMath>
        <m:r>
          <m:t>4.0</m:t>
        </m:r>
        <m:r>
          <m:rPr>
            <m:sty m:val="p"/>
          </m:rPr>
          <m:t>–</m:t>
        </m:r>
      </m:oMath>
      <w:r>
        <w:t xml:space="preserve">4.5 billion range.</w:t>
      </w:r>
    </w:p>
    <w:p>
      <w:pPr>
        <w:pStyle w:val="Compact"/>
        <w:numPr>
          <w:ilvl w:val="0"/>
          <w:numId w:val="1010"/>
        </w:numPr>
      </w:pPr>
      <w:r>
        <w:t xml:space="preserve">No erosion in the $18 billion-plus free-cash-flow and $8 billion buyback plans.</w:t>
      </w:r>
    </w:p>
    <w:p>
      <w:pPr>
        <w:pStyle w:val="Compact"/>
        <w:numPr>
          <w:ilvl w:val="0"/>
          <w:numId w:val="1010"/>
        </w:numPr>
      </w:pPr>
      <w:r>
        <w:t xml:space="preserve">A credible strategic response to satellite competition.</w:t>
      </w:r>
    </w:p>
    <w:p>
      <w:pPr>
        <w:pStyle w:val="FirstParagraph"/>
      </w:pPr>
      <w:r>
        <w:t xml:space="preserve">The principal risk is that AT&amp;T delivers the numbers through pricing and cost controls while customer growth, churn or competitive positioning weakens. In that case, investors are unlikely to give the stock much credit for an EPS beat.</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about.att.com/story/2026/1q-earnings.html?utm_source=openai" TargetMode="External" /><Relationship Type="http://schemas.openxmlformats.org/officeDocument/2006/relationships/hyperlink" Id="rId9" Target="https://about.att.com/story/2026/2q-earnings-reminder.html?utm_source=openai" TargetMode="External" /><Relationship Type="http://schemas.openxmlformats.org/officeDocument/2006/relationships/hyperlink" Id="rId13" Target="https://investors.att.com/~/media/Files/A/ATT-IR-V2/financial-reports/quarterly-earnings/2026/1Q-2026/ATT_1Q26_Earnings_Release.pdf" TargetMode="External" /><Relationship Type="http://schemas.openxmlformats.org/officeDocument/2006/relationships/hyperlink" Id="rId19" Target="https://www.attconnects.com/stories/att-statement-on-fcc-approval-of-echostar-spectrum-transaction/?utm_source=openai" TargetMode="External" /><Relationship Type="http://schemas.openxmlformats.org/officeDocument/2006/relationships/hyperlink" Id="rId24" Target="https://www.sec.gov/Archives/edgar/data/732717/000119312526272580/d151168d8k.htm?utm_source=openai" TargetMode="External" /><Relationship Type="http://schemas.openxmlformats.org/officeDocument/2006/relationships/hyperlink" Id="rId11" Target="https://www.zacks.com/stock/news/2956186/unveiling-att-t-q2-outlook-wall-street-estimates-for-key-metrics?utm_source=openai" TargetMode="External" /></Relationships>
</file>

<file path=word/_rels/footnotes.xml.rels><?xml version="1.0" encoding="UTF-8"?><Relationships xmlns="http://schemas.openxmlformats.org/package/2006/relationships"><Relationship Type="http://schemas.openxmlformats.org/officeDocument/2006/relationships/hyperlink" Id="rId22" Target="https://about.att.com/story/2026/1q-earnings.html?utm_source=openai" TargetMode="External" /><Relationship Type="http://schemas.openxmlformats.org/officeDocument/2006/relationships/hyperlink" Id="rId9" Target="https://about.att.com/story/2026/2q-earnings-reminder.html?utm_source=openai" TargetMode="External" /><Relationship Type="http://schemas.openxmlformats.org/officeDocument/2006/relationships/hyperlink" Id="rId13" Target="https://investors.att.com/~/media/Files/A/ATT-IR-V2/financial-reports/quarterly-earnings/2026/1Q-2026/ATT_1Q26_Earnings_Release.pdf" TargetMode="External" /><Relationship Type="http://schemas.openxmlformats.org/officeDocument/2006/relationships/hyperlink" Id="rId19" Target="https://www.attconnects.com/stories/att-statement-on-fcc-approval-of-echostar-spectrum-transaction/?utm_source=openai" TargetMode="External" /><Relationship Type="http://schemas.openxmlformats.org/officeDocument/2006/relationships/hyperlink" Id="rId24" Target="https://www.sec.gov/Archives/edgar/data/732717/000119312526272580/d151168d8k.htm?utm_source=openai" TargetMode="External" /><Relationship Type="http://schemas.openxmlformats.org/officeDocument/2006/relationships/hyperlink" Id="rId11" Target="https://www.zacks.com/stock/news/2956186/unveiling-att-t-q2-outlook-wall-street-estimates-for-key-metric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2026-07-22T00:11:45Z</dcterms:created>
  <dcterms:modified xsi:type="dcterms:W3CDTF">2026-07-22T00:11:45Z</dcterms:modified>
</cp:coreProperties>
</file>

<file path=docProps/custom.xml><?xml version="1.0" encoding="utf-8"?>
<Properties xmlns="http://schemas.openxmlformats.org/officeDocument/2006/custom-properties" xmlns:vt="http://schemas.openxmlformats.org/officeDocument/2006/docPropsVTypes"/>
</file>