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-earnings-predictions--2026-07-22"/>
    <w:p>
      <w:pPr>
        <w:pStyle w:val="Heading1"/>
      </w:pPr>
      <w:r>
        <w:t xml:space="preserve">T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~$0.60 vs. cons $0.59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Free cash flow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~$4.35B vs. cons $4.25B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Wireless service-revenue growth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~2.5% YoY vs. cons 2.4% YoY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~$2.30 midpoint vs. cons $2.30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free-cash-flow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~$18.0B+ vs. cons $18.1B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EBITDA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~3.5% midpoint vs. cons 3.5%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+3.1% (FOLLOW-THROUGH)</w:t>
            </w:r>
          </w:p>
        </w:tc>
        <w:tc>
          <w:tcPr/>
          <w:p>
            <w:pPr>
              <w:pStyle w:val="Compact"/>
            </w:pPr>
            <w:r>
              <w:t xml:space="preserve">FCF ~$4.35B vs.</w:t>
            </w:r>
            <w:r>
              <w:t xml:space="preserve"> </w:t>
            </w:r>
            <m:oMath>
              <m:r>
                <m:t>4.25</m:t>
              </m:r>
              <m:r>
                <m:t>B</m:t>
              </m:r>
              <m:r>
                <m:t>a</m:t>
              </m:r>
              <m:r>
                <m:t>n</m:t>
              </m:r>
              <m:r>
                <m:t>d</m:t>
              </m:r>
              <m:r>
                <m:t>E</m:t>
              </m:r>
              <m:r>
                <m:t>P</m:t>
              </m:r>
              <m:r>
                <m:t>S</m:t>
              </m:r>
              <m:r>
                <m:t> </m:t>
              </m:r>
            </m:oMath>
            <w:r>
              <w:t xml:space="preserve">0.60 vs.</w:t>
            </w:r>
            <w:r>
              <w:t xml:space="preserve"> </w:t>
            </w:r>
            <m:oMath>
              <m:r>
                <m:t>0.59</m:t>
              </m:r>
              <m:r>
                <m:t>s</m:t>
              </m:r>
              <m:r>
                <m:t>u</m:t>
              </m:r>
              <m:r>
                <m:t>p</m:t>
              </m:r>
              <m:r>
                <m:t>p</m:t>
              </m:r>
              <m:r>
                <m:t>o</m:t>
              </m:r>
              <m:r>
                <m:t>r</m:t>
              </m:r>
              <m:r>
                <m:t>t</m:t>
              </m:r>
              <m:r>
                <m:t>a</m:t>
              </m:r>
              <m:r>
                <m:t>c</m:t>
              </m:r>
              <m:r>
                <m:t>l</m:t>
              </m:r>
              <m:r>
                <m:t>e</m:t>
              </m:r>
              <m:r>
                <m:t>a</m:t>
              </m:r>
              <m:r>
                <m:t>n</m:t>
              </m:r>
              <m:r>
                <m:t>2</m:t>
              </m:r>
              <m:r>
                <m:t>Q</m:t>
              </m:r>
              <m:r>
                <m:t>a</m:t>
              </m:r>
              <m:r>
                <m:t>c</m:t>
              </m:r>
              <m:r>
                <m:t>c</m:t>
              </m:r>
              <m:r>
                <m:t>e</m:t>
              </m:r>
              <m:r>
                <m:t>l</m:t>
              </m:r>
              <m:r>
                <m:t>e</m:t>
              </m:r>
              <m:r>
                <m:t>r</m:t>
              </m:r>
              <m:r>
                <m:t>a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t>r</m:t>
              </m:r>
              <m:r>
                <m:t>e</m:t>
              </m:r>
              <m:r>
                <m:t>a</m:t>
              </m:r>
              <m:r>
                <m:t>d</m:t>
              </m:r>
              <m:r>
                <m:rPr>
                  <m:sty m:val="p"/>
                </m:rPr>
                <m:t>;</m:t>
              </m:r>
              <m:r>
                <m:t>u</m:t>
              </m:r>
              <m:r>
                <m:t>n</m:t>
              </m:r>
              <m:r>
                <m:t>c</m:t>
              </m:r>
              <m:r>
                <m:t>h</m:t>
              </m:r>
              <m:r>
                <m:t>a</m:t>
              </m:r>
              <m:r>
                <m:t>n</m:t>
              </m:r>
              <m:r>
                <m:t>g</m:t>
              </m:r>
              <m:r>
                <m:t>e</m:t>
              </m:r>
              <m:r>
                <m:t>d</m:t>
              </m:r>
              <m:r>
                <m:t>F</m:t>
              </m:r>
              <m:r>
                <m:t>Y</m:t>
              </m:r>
              <m:r>
                <m:t>26</m:t>
              </m:r>
              <m:r>
                <m:t>F</m:t>
              </m:r>
              <m:r>
                <m:t>C</m:t>
              </m:r>
              <m:r>
                <m:t>F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18.0B+ versus ~$18.1B consensus limits out-period estimate cuts, allowing modest positive revisions to persist.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2026-07-22T00:09:39Z</dcterms:created>
  <dcterms:modified xsi:type="dcterms:W3CDTF">2026-07-22T00:09:39Z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