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tt-nyse-t--2q26-earnings-preview"/>
    <w:p>
      <w:pPr>
        <w:pStyle w:val="Heading1"/>
      </w:pPr>
      <w:r>
        <w:t xml:space="preserve">AT&amp;T (NYSE: T)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event date is</w:t>
      </w:r>
      <w:r>
        <w:t xml:space="preserve"> </w:t>
      </w:r>
      <w:r>
        <w:rPr>
          <w:b/>
          <w:bCs/>
        </w:rPr>
        <w:t xml:space="preserve">Wednesday, July 22, 2026</w:t>
      </w:r>
      <w:r>
        <w:t xml:space="preserve">—which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AT&amp;T is scheduled to report second-quarter results before the U.S. market opens.</w:t>
      </w:r>
    </w:p>
    <w:bookmarkStart w:id="9" w:name="X648f56db2d2ae54ffadbc522b72d6d7d7024ef2"/>
    <w:p>
      <w:pPr>
        <w:pStyle w:val="Heading2"/>
      </w:pPr>
      <w:r>
        <w:t xml:space="preserve">Investment framing: execution and cash flow matter more than the EPS print</w:t>
      </w:r>
    </w:p>
    <w:p>
      <w:pPr>
        <w:pStyle w:val="FirstParagraph"/>
      </w:pPr>
      <w:r>
        <w:t xml:space="preserve">AT&amp;T enters 2Q26 with a relatively clear operating plan: grow wireless and broadband together, accelerate fiber deployment, take cost out of the legacy copper footprint, and convert that progress into free cash flow while continuing dividends and buybacks.</w:t>
      </w:r>
    </w:p>
    <w:p>
      <w:pPr>
        <w:pStyle w:val="BodyText"/>
      </w:pPr>
      <w:r>
        <w:t xml:space="preserve">The key question for investors is whether the company is now demonstrating the</w:t>
      </w:r>
      <w:r>
        <w:t xml:space="preserve"> </w:t>
      </w:r>
      <w:r>
        <w:rPr>
          <w:b/>
          <w:bCs/>
        </w:rPr>
        <w:t xml:space="preserve">second-quarter acceleration</w:t>
      </w:r>
      <w:r>
        <w:t xml:space="preserve"> </w:t>
      </w:r>
      <w:r>
        <w:t xml:space="preserve">management explicitly promised after 1Q. In particular, the report needs to validate three claims: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Wireless service-revenue growth is reaccelerating</w:t>
      </w:r>
      <w:r>
        <w:t xml:space="preserve">, helped by pricing actions and converged customer growth.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acquired Lumen Mass Markets fiber footprint is beginning to improve operationally</w:t>
      </w:r>
      <w:r>
        <w:t xml:space="preserve">, even if it remains a limited EBITDA contributor in 2026.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Free cash flow steps up sharply</w:t>
      </w:r>
      <w:r>
        <w:t xml:space="preserve"> </w:t>
      </w:r>
      <w:r>
        <w:t xml:space="preserve">from the seasonally weak first quarter and remains consistent with the full-year $18 billion-plus target.</w:t>
      </w:r>
    </w:p>
    <w:p>
      <w:pPr>
        <w:pStyle w:val="FirstParagraph"/>
      </w:pPr>
      <w:r>
        <w:t xml:space="preserve">A clean report is likely one that supports those three pillars while holding the full-year framework intact. A headline EPS beat without cash-flow delivery, or strong subscriber additions achieved through materially higher promotional intensity, would be less convincing.</w:t>
      </w:r>
    </w:p>
    <w:p>
      <w:r>
        <w:pict>
          <v:rect style="width:0;height:1.5pt" o:hralign="center" o:hrstd="t" o:hr="t"/>
        </w:pict>
      </w:r>
    </w:p>
    <w:bookmarkEnd w:id="9"/>
    <w:bookmarkStart w:id="10" w:name="X98b5c9775c644f825472b0378b3abd792ae967e"/>
    <w:p>
      <w:pPr>
        <w:pStyle w:val="Heading2"/>
      </w:pPr>
      <w:r>
        <w:t xml:space="preserve">The central setup: management guided to a stronger 2Q</w:t>
      </w:r>
    </w:p>
    <w:p>
      <w:pPr>
        <w:pStyle w:val="FirstParagraph"/>
      </w:pPr>
      <w:r>
        <w:t xml:space="preserve">AT&amp;T reported a solid 1Q26, but it also set a high bar for the June quarter: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  <w:tc>
          <w:tcPr/>
          <w:p>
            <w:pPr>
              <w:pStyle w:val="Compact"/>
            </w:pPr>
            <w:r>
              <w:t xml:space="preserve">What management indicated for 2Q26 /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$0.57</w:t>
            </w:r>
          </w:p>
        </w:tc>
        <w:tc>
          <w:tcPr/>
          <w:p>
            <w:pPr>
              <w:pStyle w:val="Compact"/>
            </w:pPr>
            <w:r>
              <w:t xml:space="preserve">Reiterated</w:t>
            </w:r>
            <w:r>
              <w:t xml:space="preserve"> </w:t>
            </w:r>
            <m:oMath>
              <m:r>
                <m:t>2.25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2.35</w:t>
            </w:r>
            <w:r>
              <w:t xml:space="preserve"> </w:t>
            </w:r>
            <w:r>
              <w:t xml:space="preserve">for FY26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$31.5B</w:t>
            </w:r>
            <w:r>
              <w:t xml:space="preserve">, +2.9% YoY</w:t>
            </w:r>
          </w:p>
        </w:tc>
        <w:tc>
          <w:tcPr/>
          <w:p>
            <w:pPr>
              <w:pStyle w:val="Compact"/>
            </w:pPr>
            <w:r>
              <w:t xml:space="preserve">Low-single-digit service-revenue growth for FY26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$11.8B</w:t>
            </w:r>
            <w:r>
              <w:t xml:space="preserve">, +2.3% YoY</w:t>
            </w:r>
          </w:p>
        </w:tc>
        <w:tc>
          <w:tcPr/>
          <w:p>
            <w:pPr>
              <w:pStyle w:val="Compact"/>
            </w:pPr>
            <w:r>
              <w:t xml:space="preserve">Expected growth to improve in 2Q; FY26 growth</w:t>
            </w:r>
            <w:r>
              <w:t xml:space="preserve"> </w:t>
            </w:r>
            <w:r>
              <w:rPr>
                <w:b/>
                <w:bCs/>
              </w:rPr>
              <w:t xml:space="preserve">3%–4%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$2.5B</w:t>
            </w:r>
          </w:p>
        </w:tc>
        <w:tc>
          <w:tcPr/>
          <w:p>
            <w:pPr>
              <w:pStyle w:val="Compact"/>
            </w:pPr>
            <m:oMath>
              <m:r>
                <m:t>4.0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4.5B in 2Q</w:t>
            </w:r>
            <w:r>
              <w:t xml:space="preserve">;</w:t>
            </w:r>
            <w:r>
              <w:t xml:space="preserve"> </w:t>
            </w:r>
            <w:r>
              <w:rPr>
                <w:b/>
                <w:bCs/>
              </w:rPr>
              <w:t xml:space="preserve">$18B+</w:t>
            </w:r>
            <w:r>
              <w:t xml:space="preserve"> </w:t>
            </w:r>
            <w:r>
              <w:t xml:space="preserve">for FY26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Capital investment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$5.1B</w:t>
            </w:r>
          </w:p>
        </w:tc>
        <w:tc>
          <w:tcPr/>
          <w:p>
            <w:pPr>
              <w:pStyle w:val="Compact"/>
            </w:pPr>
            <m:oMath>
              <m:r>
                <m:t>23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24B</w:t>
            </w:r>
            <w:r>
              <w:t xml:space="preserve"> </w:t>
            </w:r>
            <w:r>
              <w:t xml:space="preserve">for FY26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debt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$126.4B</w:t>
            </w:r>
            <w:r>
              <w:t xml:space="preserve"> </w:t>
            </w:r>
            <w:r>
              <w:t xml:space="preserve">at March 31</w:t>
            </w:r>
          </w:p>
        </w:tc>
        <w:tc>
          <w:tcPr/>
          <w:p>
            <w:pPr>
              <w:pStyle w:val="Compact"/>
            </w:pPr>
            <w:r>
              <w:t xml:space="preserve">Leverage expected to rise with the EchoStar transaction before declining thereafter</w:t>
            </w:r>
          </w:p>
        </w:tc>
      </w:tr>
    </w:tbl>
    <w:p>
      <w:pPr>
        <w:pStyle w:val="BodyText"/>
      </w:pPr>
      <w:r>
        <w:t xml:space="preserve">The most important hard benchmark is therefore</w:t>
      </w:r>
      <w:r>
        <w:t xml:space="preserve"> </w:t>
      </w:r>
      <w:r>
        <w:rPr>
          <w:b/>
          <w:bCs/>
        </w:rPr>
        <w:t xml:space="preserve">free cash flow</w:t>
      </w:r>
      <w:r>
        <w:t xml:space="preserve">. At the midpoint of management’s 2Q outlook, AT&amp;T would generate roughly $4.25 billion of FCF—well above 1Q’s $2.5 billion and broadly consistent with the normal seasonal improvement after first-quarter incentive compensation and device-payment headwinds.</w:t>
      </w:r>
    </w:p>
    <w:p>
      <w:r>
        <w:pict>
          <v:rect style="width:0;height:1.5pt" o:hralign="center" o:hrstd="t" o:hr="t"/>
        </w:pict>
      </w:r>
    </w:p>
    <w:bookmarkEnd w:id="10"/>
    <w:bookmarkStart w:id="15" w:name="what-investors-should-watch"/>
    <w:p>
      <w:pPr>
        <w:pStyle w:val="Heading2"/>
      </w:pPr>
      <w:r>
        <w:t xml:space="preserve">What investors should watch</w:t>
      </w:r>
    </w:p>
    <w:bookmarkStart w:id="11" w:name="X415604879d8d39db53b72707c0ae2cdbc46d884"/>
    <w:p>
      <w:pPr>
        <w:pStyle w:val="Heading3"/>
      </w:pPr>
      <w:r>
        <w:t xml:space="preserve">1. Wireless: service-revenue acceleration, churn, and the cost of growth</w:t>
      </w:r>
    </w:p>
    <w:p>
      <w:pPr>
        <w:pStyle w:val="FirstParagraph"/>
      </w:pPr>
      <w:r>
        <w:t xml:space="preserve">In 1Q, AT&amp;T added</w:t>
      </w:r>
      <w:r>
        <w:t xml:space="preserve"> </w:t>
      </w:r>
      <w:r>
        <w:rPr>
          <w:b/>
          <w:bCs/>
        </w:rPr>
        <w:t xml:space="preserve">294,000 postpaid phone subscribers</w:t>
      </w:r>
      <w:r>
        <w:t xml:space="preserve">, reported</w:t>
      </w:r>
      <w:r>
        <w:t xml:space="preserve"> </w:t>
      </w:r>
      <w:r>
        <w:rPr>
          <w:b/>
          <w:bCs/>
        </w:rPr>
        <w:t xml:space="preserve">0.89% postpaid-phone churn</w:t>
      </w:r>
      <w:r>
        <w:t xml:space="preserve">, and grew wireless service revenue</w:t>
      </w:r>
      <w:r>
        <w:t xml:space="preserve"> </w:t>
      </w:r>
      <w:r>
        <w:rPr>
          <w:b/>
          <w:bCs/>
        </w:rPr>
        <w:t xml:space="preserve">1.7%</w:t>
      </w:r>
      <w:r>
        <w:t xml:space="preserve"> </w:t>
      </w:r>
      <w:r>
        <w:t xml:space="preserve">year over year. Management said that growth should improve in 2Q, supported by pricing actions that began taking effect in April and further adoption of its converged offers.</w:t>
      </w:r>
    </w:p>
    <w:p>
      <w:pPr>
        <w:pStyle w:val="BodyText"/>
      </w:pPr>
      <w:r>
        <w:t xml:space="preserve">The issue is not simply gross adds. Investors should focus on whether AT&amp;T can improve service revenue while keeping acquisition and retention costs disciplined.</w:t>
      </w:r>
    </w:p>
    <w:p>
      <w:pPr>
        <w:pStyle w:val="BodyText"/>
      </w:pPr>
      <w:r>
        <w:rPr>
          <w:b/>
          <w:bCs/>
        </w:rPr>
        <w:t xml:space="preserve">Key read-throughs:</w:t>
      </w:r>
    </w:p>
    <w:p>
      <w:pPr>
        <w:pStyle w:val="Compact"/>
        <w:numPr>
          <w:ilvl w:val="0"/>
          <w:numId w:val="1002"/>
        </w:numPr>
      </w:pPr>
      <w:r>
        <w:t xml:space="preserve">Wireless service-revenue growth moving decisively above 1Q’s 1.7%.</w:t>
      </w:r>
    </w:p>
    <w:p>
      <w:pPr>
        <w:pStyle w:val="Compact"/>
        <w:numPr>
          <w:ilvl w:val="0"/>
          <w:numId w:val="1002"/>
        </w:numPr>
      </w:pPr>
      <w:r>
        <w:t xml:space="preserve">Postpaid phone net additions that remain healthy without a material deterioration in churn.</w:t>
      </w:r>
    </w:p>
    <w:p>
      <w:pPr>
        <w:pStyle w:val="Compact"/>
        <w:numPr>
          <w:ilvl w:val="0"/>
          <w:numId w:val="1002"/>
        </w:numPr>
      </w:pPr>
      <w:r>
        <w:t xml:space="preserve">Evidence that customer growth is increasingly composed of converged fiber/wireless or fixed-wireless/wireless accounts.</w:t>
      </w:r>
    </w:p>
    <w:p>
      <w:pPr>
        <w:pStyle w:val="Compact"/>
        <w:numPr>
          <w:ilvl w:val="0"/>
          <w:numId w:val="1002"/>
        </w:numPr>
      </w:pPr>
      <w:r>
        <w:t xml:space="preserve">Commentary on promotional intensity, handset subsidies, and the economics of its newer</w:t>
      </w:r>
      <w:r>
        <w:t xml:space="preserve"> </w:t>
      </w:r>
      <w:r>
        <w:rPr>
          <w:b/>
          <w:bCs/>
        </w:rPr>
        <w:t xml:space="preserve">OneConnect</w:t>
      </w:r>
      <w:r>
        <w:t xml:space="preserve"> </w:t>
      </w:r>
      <w:r>
        <w:t xml:space="preserve">offers.</w:t>
      </w:r>
    </w:p>
    <w:p>
      <w:pPr>
        <w:pStyle w:val="FirstParagraph"/>
      </w:pPr>
      <w:r>
        <w:t xml:space="preserve">AT&amp;T’s strategic case rests on the view that converged customers churn less and have better lifetime value. That is a credible long-term thesis, but the near-term trade-off is that the company may accept some ARPU dilution and elevated commercial spending to build those relationships. Investors will want proof that these trade-offs are still economically attractive.</w:t>
      </w:r>
    </w:p>
    <w:bookmarkEnd w:id="11"/>
    <w:bookmarkStart w:id="12" w:name="X049965706a166f1cce5ed5ae49e1ade9e0a9f92"/>
    <w:p>
      <w:pPr>
        <w:pStyle w:val="Heading3"/>
      </w:pPr>
      <w:r>
        <w:t xml:space="preserve">2. Fiber, Internet Air, and Lumen integration</w:t>
      </w:r>
    </w:p>
    <w:p>
      <w:pPr>
        <w:pStyle w:val="FirstParagraph"/>
      </w:pPr>
      <w:r>
        <w:t xml:space="preserve">Broadband is the company’s most important growth engine. In 1Q, AT&amp;T delivered</w:t>
      </w:r>
      <w:r>
        <w:t xml:space="preserve"> </w:t>
      </w:r>
      <w:r>
        <w:rPr>
          <w:b/>
          <w:bCs/>
        </w:rPr>
        <w:t xml:space="preserve">512,000 consumer advanced-home-internet net adds</w:t>
      </w:r>
      <w:r>
        <w:t xml:space="preserve">, including</w:t>
      </w:r>
      <w:r>
        <w:t xml:space="preserve"> </w:t>
      </w:r>
      <w:r>
        <w:rPr>
          <w:b/>
          <w:bCs/>
        </w:rPr>
        <w:t xml:space="preserve">273,000 fiber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239,000 Internet Air</w:t>
      </w:r>
      <w:r>
        <w:t xml:space="preserve"> </w:t>
      </w:r>
      <w:r>
        <w:t xml:space="preserve">additions. It also closed the Lumen Mass Markets fiber acquisition in February, bringing roughly</w:t>
      </w:r>
      <w:r>
        <w:t xml:space="preserve"> </w:t>
      </w:r>
      <w:r>
        <w:rPr>
          <w:b/>
          <w:bCs/>
        </w:rPr>
        <w:t xml:space="preserve">1.1 million fiber customers</w:t>
      </w:r>
      <w:r>
        <w:t xml:space="preserve"> </w:t>
      </w:r>
      <w:r>
        <w:t xml:space="preserve">and more than</w:t>
      </w:r>
      <w:r>
        <w:t xml:space="preserve"> </w:t>
      </w:r>
      <w:r>
        <w:rPr>
          <w:b/>
          <w:bCs/>
        </w:rPr>
        <w:t xml:space="preserve">4 million fiber locations</w:t>
      </w:r>
      <w:r>
        <w:t xml:space="preserve"> </w:t>
      </w:r>
      <w:r>
        <w:t xml:space="preserve">into the AT&amp;T ecosystem.</w:t>
      </w:r>
    </w:p>
    <w:p>
      <w:pPr>
        <w:pStyle w:val="BodyText"/>
      </w:pPr>
      <w:r>
        <w:t xml:space="preserve">The second quarter should provide a more meaningful look at integration progress.</w:t>
      </w:r>
    </w:p>
    <w:p>
      <w:pPr>
        <w:pStyle w:val="BodyText"/>
      </w:pPr>
      <w:r>
        <w:rPr>
          <w:b/>
          <w:bCs/>
        </w:rPr>
        <w:t xml:space="preserve">What matters most:</w:t>
      </w:r>
    </w:p>
    <w:p>
      <w:pPr>
        <w:pStyle w:val="Compact"/>
        <w:numPr>
          <w:ilvl w:val="0"/>
          <w:numId w:val="1003"/>
        </w:numPr>
      </w:pPr>
      <w:r>
        <w:t xml:space="preserve">Fiber net additions and whether trends improve sequentially, consistent with normal seasonal patterns and expanded reach.</w:t>
      </w:r>
    </w:p>
    <w:p>
      <w:pPr>
        <w:pStyle w:val="Compact"/>
        <w:numPr>
          <w:ilvl w:val="0"/>
          <w:numId w:val="1003"/>
        </w:numPr>
      </w:pPr>
      <w:r>
        <w:t xml:space="preserve">Internet Air additions and whether AT&amp;T continues using fixed wireless selectively—as a stand-alone value product and as a future fiber-conversion funnel.</w:t>
      </w:r>
    </w:p>
    <w:p>
      <w:pPr>
        <w:pStyle w:val="Compact"/>
        <w:numPr>
          <w:ilvl w:val="0"/>
          <w:numId w:val="1003"/>
        </w:numPr>
      </w:pPr>
      <w:r>
        <w:t xml:space="preserve">Sales momentum in acquired Lumen markets, where management previously said activity was running above pre-transaction levels.</w:t>
      </w:r>
    </w:p>
    <w:p>
      <w:pPr>
        <w:pStyle w:val="Compact"/>
        <w:numPr>
          <w:ilvl w:val="0"/>
          <w:numId w:val="1003"/>
        </w:numPr>
      </w:pPr>
      <w:r>
        <w:t xml:space="preserve">Any change in management’s expectation that the Lumen operating regions will make only an</w:t>
      </w:r>
      <w:r>
        <w:t xml:space="preserve"> </w:t>
      </w:r>
      <w:r>
        <w:rPr>
          <w:b/>
          <w:bCs/>
        </w:rPr>
        <w:t xml:space="preserve">immaterial EBITDA contribution in 2026</w:t>
      </w:r>
      <w:r>
        <w:t xml:space="preserve">, owing to integration and growth investments.</w:t>
      </w:r>
    </w:p>
    <w:p>
      <w:pPr>
        <w:pStyle w:val="Compact"/>
        <w:numPr>
          <w:ilvl w:val="0"/>
          <w:numId w:val="1003"/>
        </w:numPr>
      </w:pPr>
      <w:r>
        <w:t xml:space="preserve">Progress toward a transaction with an outside equity partner for the acquired fiber-network assets, which management expects in the second half of 2026.</w:t>
      </w:r>
    </w:p>
    <w:p>
      <w:pPr>
        <w:pStyle w:val="FirstParagraph"/>
      </w:pPr>
      <w:r>
        <w:t xml:space="preserve">Comparability deserves special attention. AT&amp;T reorganized reporting into</w:t>
      </w:r>
      <w:r>
        <w:t xml:space="preserve"> </w:t>
      </w:r>
      <w:r>
        <w:rPr>
          <w:b/>
          <w:bCs/>
        </w:rPr>
        <w:t xml:space="preserve">Advanced Connectivity</w:t>
      </w:r>
      <w:r>
        <w:t xml:space="preserve">,</w:t>
      </w:r>
      <w:r>
        <w:t xml:space="preserve"> </w:t>
      </w:r>
      <w:r>
        <w:rPr>
          <w:b/>
          <w:bCs/>
        </w:rPr>
        <w:t xml:space="preserve">Legacy</w:t>
      </w:r>
      <w:r>
        <w:t xml:space="preserve">, and</w:t>
      </w:r>
      <w:r>
        <w:t xml:space="preserve"> </w:t>
      </w:r>
      <w:r>
        <w:rPr>
          <w:b/>
          <w:bCs/>
        </w:rPr>
        <w:t xml:space="preserve">Latin America</w:t>
      </w:r>
      <w:r>
        <w:t xml:space="preserve"> </w:t>
      </w:r>
      <w:r>
        <w:t xml:space="preserve">beginning in 1Q26. The Lumen customer acquisition and related held-for-sale/discontinued-operations treatment for certain network assets also make simple year-over-year comparisons less informative than underlying service-revenue growth, net adds, and EBITDA trajectory.</w:t>
      </w:r>
    </w:p>
    <w:bookmarkEnd w:id="12"/>
    <w:bookmarkStart w:id="13" w:name="X2095a34a3894dbf8c6c78e17a179c1eaf80a198"/>
    <w:p>
      <w:pPr>
        <w:pStyle w:val="Heading3"/>
      </w:pPr>
      <w:r>
        <w:t xml:space="preserve">3. Advanced Connectivity margins and cost transformation</w:t>
      </w:r>
    </w:p>
    <w:p>
      <w:pPr>
        <w:pStyle w:val="FirstParagraph"/>
      </w:pPr>
      <w:r>
        <w:t xml:space="preserve">AT&amp;T’s new Advanced Connectivity segment now represents more than 90% of consolidated revenue and nearly all adjusted EBITDA. In 1Q, the segment produced: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$22.9B</w:t>
      </w:r>
      <w:r>
        <w:t xml:space="preserve"> </w:t>
      </w:r>
      <w:r>
        <w:t xml:space="preserve">of service revenue, up</w:t>
      </w:r>
      <w:r>
        <w:t xml:space="preserve"> </w:t>
      </w:r>
      <w:r>
        <w:rPr>
          <w:b/>
          <w:bCs/>
        </w:rPr>
        <w:t xml:space="preserve">3.6%</w:t>
      </w:r>
      <w:r>
        <w:t xml:space="preserve"> </w:t>
      </w:r>
      <w:r>
        <w:t xml:space="preserve">year over year;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$11.6B</w:t>
      </w:r>
      <w:r>
        <w:t xml:space="preserve"> </w:t>
      </w:r>
      <w:r>
        <w:t xml:space="preserve">of EBITDA, up</w:t>
      </w:r>
      <w:r>
        <w:t xml:space="preserve"> </w:t>
      </w:r>
      <w:r>
        <w:rPr>
          <w:b/>
          <w:bCs/>
        </w:rPr>
        <w:t xml:space="preserve">5.6%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40.6% EBITDA margin</w:t>
      </w:r>
      <w:r>
        <w:t xml:space="preserve">, up 30 basis points.</w:t>
      </w:r>
    </w:p>
    <w:p>
      <w:pPr>
        <w:pStyle w:val="FirstParagraph"/>
      </w:pPr>
      <w:r>
        <w:t xml:space="preserve">That margin performance is encouraging, particularly given low-margin equipment growth and the initially modest profitability of acquired Lumen operations. The 2Q report should show whether that operating leverage is sustainable.</w:t>
      </w:r>
    </w:p>
    <w:p>
      <w:pPr>
        <w:pStyle w:val="BodyText"/>
      </w:pPr>
      <w:r>
        <w:t xml:space="preserve">The main offset is Legacy: 1Q Legacy revenue declined</w:t>
      </w:r>
      <w:r>
        <w:t xml:space="preserve"> </w:t>
      </w:r>
      <w:r>
        <w:rPr>
          <w:b/>
          <w:bCs/>
        </w:rPr>
        <w:t xml:space="preserve">25.3%</w:t>
      </w:r>
      <w:r>
        <w:t xml:space="preserve"> </w:t>
      </w:r>
      <w:r>
        <w:t xml:space="preserve">and EBITDA declined</w:t>
      </w:r>
      <w:r>
        <w:t xml:space="preserve"> </w:t>
      </w:r>
      <w:r>
        <w:rPr>
          <w:b/>
          <w:bCs/>
        </w:rPr>
        <w:t xml:space="preserve">39.9%</w:t>
      </w:r>
      <w:r>
        <w:t xml:space="preserve"> </w:t>
      </w:r>
      <w:r>
        <w:t xml:space="preserve">as AT&amp;T shuts down copper-based services. This is strategically positive over time, but the near-term profit drag can remain disproportionate until infrastructure and support costs are fully removed.</w:t>
      </w:r>
    </w:p>
    <w:p>
      <w:pPr>
        <w:pStyle w:val="BodyText"/>
      </w:pPr>
      <w:r>
        <w:rPr>
          <w:b/>
          <w:bCs/>
        </w:rPr>
        <w:t xml:space="preserve">Investors should look for:</w:t>
      </w:r>
    </w:p>
    <w:p>
      <w:pPr>
        <w:pStyle w:val="Compact"/>
        <w:numPr>
          <w:ilvl w:val="0"/>
          <w:numId w:val="1005"/>
        </w:numPr>
      </w:pPr>
      <w:r>
        <w:t xml:space="preserve">Advanced Connectivity EBITDA growth consistent with the company’s</w:t>
      </w:r>
      <w:r>
        <w:t xml:space="preserve"> </w:t>
      </w:r>
      <w:r>
        <w:rPr>
          <w:b/>
          <w:bCs/>
        </w:rPr>
        <w:t xml:space="preserve">6%+ FY26</w:t>
      </w:r>
      <w:r>
        <w:t xml:space="preserve"> </w:t>
      </w:r>
      <w:r>
        <w:t xml:space="preserve">target.</w:t>
      </w:r>
    </w:p>
    <w:p>
      <w:pPr>
        <w:pStyle w:val="Compact"/>
        <w:numPr>
          <w:ilvl w:val="0"/>
          <w:numId w:val="1005"/>
        </w:numPr>
      </w:pPr>
      <w:r>
        <w:t xml:space="preserve">Tangible evidence of the broader</w:t>
      </w:r>
      <w:r>
        <w:t xml:space="preserve"> </w:t>
      </w:r>
      <w:r>
        <w:rPr>
          <w:b/>
          <w:bCs/>
        </w:rPr>
        <w:t xml:space="preserve">$4B annual cost-savings target by year-end 2028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Updates on copper retirement, wire-center shutdowns, and the timing of cost removal.</w:t>
      </w:r>
    </w:p>
    <w:p>
      <w:pPr>
        <w:pStyle w:val="Compact"/>
        <w:numPr>
          <w:ilvl w:val="0"/>
          <w:numId w:val="1005"/>
        </w:numPr>
      </w:pPr>
      <w:r>
        <w:t xml:space="preserve">Whether business advanced-connectivity revenue can remain stable to modestly positive, offsetting declines in transitional services.</w:t>
      </w:r>
    </w:p>
    <w:bookmarkEnd w:id="13"/>
    <w:bookmarkStart w:id="14" w:name="X8e911ad22a09ef4a2bbdc5513f3898e854c14fa"/>
    <w:p>
      <w:pPr>
        <w:pStyle w:val="Heading3"/>
      </w:pPr>
      <w:r>
        <w:t xml:space="preserve">4. Capital allocation: FCF, leverage, and shareholder returns</w:t>
      </w:r>
    </w:p>
    <w:p>
      <w:pPr>
        <w:pStyle w:val="FirstParagraph"/>
      </w:pPr>
      <w:r>
        <w:t xml:space="preserve">The report is also a capital-allocation check. AT&amp;T reiterated plans for: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$18B+</w:t>
      </w:r>
      <w:r>
        <w:t xml:space="preserve"> </w:t>
      </w:r>
      <w:r>
        <w:t xml:space="preserve">of FY26 free cash flow;</w:t>
      </w:r>
    </w:p>
    <w:p>
      <w:pPr>
        <w:pStyle w:val="Compact"/>
        <w:numPr>
          <w:ilvl w:val="0"/>
          <w:numId w:val="1006"/>
        </w:numPr>
      </w:pPr>
      <w:r>
        <w:t xml:space="preserve">annualized common dividend of</w:t>
      </w:r>
      <w:r>
        <w:t xml:space="preserve"> </w:t>
      </w:r>
      <w:r>
        <w:rPr>
          <w:b/>
          <w:bCs/>
        </w:rPr>
        <w:t xml:space="preserve">$1.11 per share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$8B</w:t>
      </w:r>
      <w:r>
        <w:t xml:space="preserve"> </w:t>
      </w:r>
      <w:r>
        <w:t xml:space="preserve">of share repurchases in 2026; and</w:t>
      </w:r>
    </w:p>
    <w:p>
      <w:pPr>
        <w:pStyle w:val="Compact"/>
        <w:numPr>
          <w:ilvl w:val="0"/>
          <w:numId w:val="1006"/>
        </w:numPr>
      </w:pPr>
      <w:r>
        <w:t xml:space="preserve">more than</w:t>
      </w:r>
      <w:r>
        <w:t xml:space="preserve"> </w:t>
      </w:r>
      <w:r>
        <w:rPr>
          <w:b/>
          <w:bCs/>
        </w:rPr>
        <w:t xml:space="preserve">$45B</w:t>
      </w:r>
      <w:r>
        <w:t xml:space="preserve"> </w:t>
      </w:r>
      <w:r>
        <w:t xml:space="preserve">of dividends and buybacks over 2026–2028.</w:t>
      </w:r>
    </w:p>
    <w:p>
      <w:pPr>
        <w:pStyle w:val="FirstParagraph"/>
      </w:pPr>
      <w:r>
        <w:t xml:space="preserve">At the same time, investors must weigh those returns against elevated investment and transaction-related leverage. Net debt stood at</w:t>
      </w:r>
      <w:r>
        <w:t xml:space="preserve"> </w:t>
      </w:r>
      <w:r>
        <w:rPr>
          <w:b/>
          <w:bCs/>
        </w:rPr>
        <w:t xml:space="preserve">$126.4B</w:t>
      </w:r>
      <w:r>
        <w:t xml:space="preserve"> </w:t>
      </w:r>
      <w:r>
        <w:t xml:space="preserve">at the end of 1Q, and management expects net debt-to-adjusted EBITDA to rise to about</w:t>
      </w:r>
      <w:r>
        <w:t xml:space="preserve"> </w:t>
      </w:r>
      <w:r>
        <w:rPr>
          <w:b/>
          <w:bCs/>
        </w:rPr>
        <w:t xml:space="preserve">3.2x</w:t>
      </w:r>
      <w:r>
        <w:t xml:space="preserve"> </w:t>
      </w:r>
      <w:r>
        <w:t xml:space="preserve">following the EchoStar transaction before trending down.</w:t>
      </w:r>
    </w:p>
    <w:p>
      <w:pPr>
        <w:pStyle w:val="BodyText"/>
      </w:pPr>
      <w:r>
        <w:t xml:space="preserve">The quarter therefore needs to reinforce that AT&amp;T can fund fiber builds, spectrum-related commitments, dividends, buybacks, and deleveraging from internally generated cash flow—not merely from favorable timing or balance-sheet flexibility.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Xe4d426febd27fc449ee57c342bb7ab2a83b02da"/>
    <w:p>
      <w:pPr>
        <w:pStyle w:val="Heading2"/>
      </w:pPr>
      <w:r>
        <w:t xml:space="preserve">The emerging valuation debate: competition and satellite</w:t>
      </w:r>
    </w:p>
    <w:p>
      <w:pPr>
        <w:pStyle w:val="FirstParagraph"/>
      </w:pPr>
      <w:r>
        <w:t xml:space="preserve">AT&amp;T shares closed at</w:t>
      </w:r>
      <w:r>
        <w:t xml:space="preserve"> </w:t>
      </w:r>
      <m:oMath>
        <m:r>
          <m:t>22.27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20.70 on June 30</w:t>
      </w:r>
      <w:r>
        <w:t xml:space="preserve">, but the stock has recently traded amid renewed investor concern that SpaceX and other satellite operators could become more consequential competitors in wireless and broadband.</w:t>
      </w:r>
    </w:p>
    <w:p>
      <w:pPr>
        <w:pStyle w:val="BodyText"/>
      </w:pPr>
      <w:r>
        <w:t xml:space="preserve">This is unlikely to change 2Q operating results. But it can influence the call and the stock’s reaction to an otherwise in-line report.</w:t>
      </w:r>
    </w:p>
    <w:p>
      <w:pPr>
        <w:pStyle w:val="BodyText"/>
      </w:pPr>
      <w:r>
        <w:t xml:space="preserve">Management’s prior position has been that satellite direct-to-device connectivity will be complementary to terrestrial networks, especially for coverage gaps, while fiber retains a structural advantage in cost and performance for high-capacity home broadband. The more immediate investor question is whether new satellite partnerships, direct-to-device offerings, or a broader low-earth-orbit ecosystem could alter long-run industry pricing, customer-acquisition costs, or the perceived value of AT&amp;T’s fixed and mobile network assets.</w:t>
      </w:r>
    </w:p>
    <w:p>
      <w:pPr>
        <w:pStyle w:val="BodyText"/>
      </w:pPr>
      <w:r>
        <w:t xml:space="preserve">A confident, technically grounded response on this topic—without any indication of incremental competitive pressure in the core business—would be helpful for sentiment.</w:t>
      </w:r>
    </w:p>
    <w:p>
      <w:r>
        <w:pict>
          <v:rect style="width:0;height:1.5pt" o:hralign="center" o:hrstd="t" o:hr="t"/>
        </w:pict>
      </w:r>
    </w:p>
    <w:bookmarkEnd w:id="16"/>
    <w:bookmarkStart w:id="20" w:name="Xfab443bdfe3ec03b57cd39b907729dafb9315c6"/>
    <w:p>
      <w:pPr>
        <w:pStyle w:val="Heading2"/>
      </w:pPr>
      <w:r>
        <w:t xml:space="preserve">2Q26 scorecard</w:t>
      </w:r>
    </w:p>
    <w:bookmarkStart w:id="17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07"/>
        </w:numPr>
      </w:pPr>
      <w:r>
        <w:t xml:space="preserve">Free cash flow at or above the</w:t>
      </w:r>
      <w:r>
        <w:t xml:space="preserve"> </w:t>
      </w:r>
      <m:oMath>
        <m:r>
          <m:t>4.0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4.5B</w:t>
      </w:r>
      <w:r>
        <w:t xml:space="preserve"> </w:t>
      </w:r>
      <w:r>
        <w:t xml:space="preserve">guide.</w:t>
      </w:r>
    </w:p>
    <w:p>
      <w:pPr>
        <w:pStyle w:val="Compact"/>
        <w:numPr>
          <w:ilvl w:val="0"/>
          <w:numId w:val="1007"/>
        </w:numPr>
      </w:pPr>
      <w:r>
        <w:t xml:space="preserve">Wireless service-revenue growth accelerates meaningfully from 1Q.</w:t>
      </w:r>
    </w:p>
    <w:p>
      <w:pPr>
        <w:pStyle w:val="Compact"/>
        <w:numPr>
          <w:ilvl w:val="0"/>
          <w:numId w:val="1007"/>
        </w:numPr>
      </w:pPr>
      <w:r>
        <w:t xml:space="preserve">Fiber and Internet Air growth remain robust, with favorable early evidence from Lumen-market integration.</w:t>
      </w:r>
    </w:p>
    <w:p>
      <w:pPr>
        <w:pStyle w:val="Compact"/>
        <w:numPr>
          <w:ilvl w:val="0"/>
          <w:numId w:val="1007"/>
        </w:numPr>
      </w:pPr>
      <w:r>
        <w:t xml:space="preserve">Advanced Connectivity EBITDA expands at a pace that supports full-year guidance.</w:t>
      </w:r>
    </w:p>
    <w:p>
      <w:pPr>
        <w:pStyle w:val="Compact"/>
        <w:numPr>
          <w:ilvl w:val="0"/>
          <w:numId w:val="1007"/>
        </w:numPr>
      </w:pPr>
      <w:r>
        <w:t xml:space="preserve">FY26 FCF, EBITDA, EPS, capital investment, buyback, and dividend targets are all reaffirmed.</w:t>
      </w:r>
    </w:p>
    <w:p>
      <w:pPr>
        <w:pStyle w:val="Compact"/>
        <w:numPr>
          <w:ilvl w:val="0"/>
          <w:numId w:val="1007"/>
        </w:numPr>
      </w:pPr>
      <w:r>
        <w:t xml:space="preserve">Management gives credible detail on copper cost removal and the planned Lumen fiber-asset equity partnership.</w:t>
      </w:r>
    </w:p>
    <w:bookmarkEnd w:id="17"/>
    <w:bookmarkStart w:id="18" w:name="neutral--mixed-outcome"/>
    <w:p>
      <w:pPr>
        <w:pStyle w:val="Heading3"/>
      </w:pPr>
      <w:r>
        <w:t xml:space="preserve">Neutral / mixed outcome</w:t>
      </w:r>
    </w:p>
    <w:p>
      <w:pPr>
        <w:pStyle w:val="Compact"/>
        <w:numPr>
          <w:ilvl w:val="0"/>
          <w:numId w:val="1008"/>
        </w:numPr>
      </w:pPr>
      <w:r>
        <w:t xml:space="preserve">Results meet broad expectations, but FCF only reaches the low end of the range.</w:t>
      </w:r>
    </w:p>
    <w:p>
      <w:pPr>
        <w:pStyle w:val="Compact"/>
        <w:numPr>
          <w:ilvl w:val="0"/>
          <w:numId w:val="1008"/>
        </w:numPr>
      </w:pPr>
      <w:r>
        <w:t xml:space="preserve">Subscriber trends are healthy, yet churn or promotional spending rises.</w:t>
      </w:r>
    </w:p>
    <w:p>
      <w:pPr>
        <w:pStyle w:val="Compact"/>
        <w:numPr>
          <w:ilvl w:val="0"/>
          <w:numId w:val="1008"/>
        </w:numPr>
      </w:pPr>
      <w:r>
        <w:t xml:space="preserve">Lumen integration is progressing but EBITDA dilution persists longer than investors expected.</w:t>
      </w:r>
    </w:p>
    <w:p>
      <w:pPr>
        <w:pStyle w:val="Compact"/>
        <w:numPr>
          <w:ilvl w:val="0"/>
          <w:numId w:val="1008"/>
        </w:numPr>
      </w:pPr>
      <w:r>
        <w:t xml:space="preserve">Guidance is reiterated, but management offers limited visibility on second-half operating leverage.</w:t>
      </w:r>
    </w:p>
    <w:bookmarkEnd w:id="18"/>
    <w:bookmarkStart w:id="19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09"/>
        </w:numPr>
      </w:pPr>
      <w:r>
        <w:t xml:space="preserve">Free cash flow misses the quarterly range or puts the</w:t>
      </w:r>
      <w:r>
        <w:t xml:space="preserve"> </w:t>
      </w:r>
      <w:r>
        <w:rPr>
          <w:b/>
          <w:bCs/>
        </w:rPr>
        <w:t xml:space="preserve">$18B+</w:t>
      </w:r>
      <w:r>
        <w:t xml:space="preserve"> </w:t>
      </w:r>
      <w:r>
        <w:t xml:space="preserve">full-year target in doubt.</w:t>
      </w:r>
    </w:p>
    <w:p>
      <w:pPr>
        <w:pStyle w:val="Compact"/>
        <w:numPr>
          <w:ilvl w:val="0"/>
          <w:numId w:val="1009"/>
        </w:numPr>
      </w:pPr>
      <w:r>
        <w:t xml:space="preserve">Wireless growth remains stuck near 1Q levels while promotional costs increase.</w:t>
      </w:r>
    </w:p>
    <w:p>
      <w:pPr>
        <w:pStyle w:val="Compact"/>
        <w:numPr>
          <w:ilvl w:val="0"/>
          <w:numId w:val="1009"/>
        </w:numPr>
      </w:pPr>
      <w:r>
        <w:t xml:space="preserve">Fiber momentum weakens or Lumen integration proves more expensive and operationally difficult.</w:t>
      </w:r>
    </w:p>
    <w:p>
      <w:pPr>
        <w:pStyle w:val="Compact"/>
        <w:numPr>
          <w:ilvl w:val="0"/>
          <w:numId w:val="1009"/>
        </w:numPr>
      </w:pPr>
      <w:r>
        <w:t xml:space="preserve">Advanced Connectivity margin expansion stalls.</w:t>
      </w:r>
    </w:p>
    <w:p>
      <w:pPr>
        <w:pStyle w:val="Compact"/>
        <w:numPr>
          <w:ilvl w:val="0"/>
          <w:numId w:val="1009"/>
        </w:numPr>
      </w:pPr>
      <w:r>
        <w:t xml:space="preserve">Management tempers buyback, leverage, or capital-return ambitions because of investment needs or transaction-related balance-sheet pressure.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AT&amp;T’s 2Q26 report is primarily a</w:t>
      </w:r>
      <w:r>
        <w:t xml:space="preserve"> </w:t>
      </w:r>
      <w:r>
        <w:rPr>
          <w:b/>
          <w:bCs/>
        </w:rPr>
        <w:t xml:space="preserve">proof-of-acceleration quarter</w:t>
      </w:r>
      <w:r>
        <w:t xml:space="preserve">. The company has already articulated the framework: stronger wireless service revenue, better EBITDA growth, roughly $4 billion to $4.5 billion of quarterly free cash flow, and ongoing progress in fiber-led convergence.</w:t>
      </w:r>
    </w:p>
    <w:p>
      <w:pPr>
        <w:pStyle w:val="BodyText"/>
      </w:pPr>
      <w:r>
        <w:t xml:space="preserve">The highest-value indicators will be</w:t>
      </w:r>
      <w:r>
        <w:t xml:space="preserve"> </w:t>
      </w:r>
      <w:r>
        <w:rPr>
          <w:b/>
          <w:bCs/>
        </w:rPr>
        <w:t xml:space="preserve">FCF delivery, wireless service-revenue acceleration, fiber/Lumen execution, and the quality—not just the quantity—of subscriber growth</w:t>
      </w:r>
      <w:r>
        <w:t xml:space="preserve">. If those align, investors should gain confidence that AT&amp;T can simultaneously fund its network expansion and meet its substantial capital-return commitments. If not, the market is likely to refocus on the cost of competition, integration execution, and leverage.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2026-07-22T00:09:39Z</dcterms:created>
  <dcterms:modified xsi:type="dcterms:W3CDTF">2026-07-22T00:09:39Z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