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AT&amp;T Inc. (T) — Q2 2026 Earnings Preview</w:t>
      </w:r>
    </w:p>
    <w:p>
      <w:r>
        <w:rPr>
          <w:rFonts w:ascii="Calibri" w:hAnsi="Calibri"/>
          <w:b/>
          <w:color w:val="525866"/>
          <w:sz w:val="22"/>
        </w:rPr>
        <w:t xml:space="preserve">Prepared: </w:t>
      </w:r>
      <w:r>
        <w:rPr>
          <w:rFonts w:ascii="Calibri" w:hAnsi="Calibri"/>
          <w:color w:val="525866"/>
          <w:sz w:val="22"/>
        </w:rPr>
        <w:t xml:space="preserve">July 21, 2026     </w:t>
      </w:r>
      <w:r>
        <w:rPr>
          <w:rFonts w:ascii="Calibri" w:hAnsi="Calibri"/>
          <w:b/>
          <w:color w:val="525866"/>
          <w:sz w:val="22"/>
        </w:rPr>
        <w:t xml:space="preserve">Earnings Date: </w:t>
      </w:r>
      <w:r>
        <w:rPr>
          <w:rFonts w:ascii="Calibri" w:hAnsi="Calibri"/>
          <w:color w:val="525866"/>
          <w:sz w:val="22"/>
        </w:rPr>
        <w:t xml:space="preserve">July 22, 2026     </w:t>
      </w:r>
      <w:r>
        <w:rPr>
          <w:rFonts w:ascii="Calibri" w:hAnsi="Calibri"/>
          <w:b/>
          <w:color w:val="525866"/>
          <w:sz w:val="22"/>
        </w:rPr>
        <w:t xml:space="preserve">Ticker: </w:t>
      </w:r>
      <w:r>
        <w:rPr>
          <w:rFonts w:ascii="Calibri" w:hAnsi="Calibri"/>
          <w:color w:val="525866"/>
          <w:sz w:val="22"/>
        </w:rPr>
        <w:t xml:space="preserve">T (NYSE)     </w:t>
      </w:r>
      <w:r>
        <w:rPr>
          <w:rFonts w:ascii="Calibri" w:hAnsi="Calibri"/>
          <w:b/>
          <w:color w:val="525866"/>
          <w:sz w:val="22"/>
        </w:rPr>
        <w:t xml:space="preserve">Sector ETF: </w:t>
      </w:r>
      <w:r>
        <w:rPr>
          <w:rFonts w:ascii="Calibri" w:hAnsi="Calibri"/>
          <w:color w:val="525866"/>
          <w:sz w:val="22"/>
        </w:rPr>
        <w:t>XLC (Communication Services)</w:t>
      </w:r>
    </w:p>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bar into Q2 is manageable — consensus sits modestly above Q1 actuals on most metrics — but the stock's </w:t>
      </w:r>
      <w:r>
        <w:rPr>
          <w:rFonts w:ascii="Calibri" w:hAnsi="Calibri"/>
          <w:b/>
          <w:color w:val="E5484D"/>
          <w:sz w:val="22"/>
        </w:rPr>
        <w:t>-14% underperformance vs. the S&amp;P 500</w:t>
      </w:r>
      <w:r>
        <w:rPr>
          <w:rFonts w:ascii="Calibri" w:hAnsi="Calibri"/>
          <w:b/>
          <w:color w:val="525866"/>
          <w:sz w:val="22"/>
        </w:rPr>
        <w:t xml:space="preserve"> since last earnings signals the market is skeptical that AT&amp;T can sustain its convergence narrative while managing elevated churn and a CFO transition. The single biggest swing factor is whether </w:t>
      </w:r>
      <w:r>
        <w:rPr>
          <w:rFonts w:ascii="Calibri" w:hAnsi="Calibri"/>
          <w:b/>
          <w:color w:val="525866"/>
          <w:sz w:val="22"/>
        </w:rPr>
        <w:t>postpaid phone net adds and fiber net adds can both beat</w:t>
      </w:r>
      <w:r>
        <w:rPr>
          <w:rFonts w:ascii="Calibri" w:hAnsi="Calibri"/>
          <w:b/>
          <w:color w:val="525866"/>
          <w:sz w:val="22"/>
        </w:rPr>
        <w:t>, validating the convergence thesis simultaneously.</w:t>
      </w:r>
    </w:p>
    <w:p>
      <w:r>
        <w:rPr>
          <w:rFonts w:ascii="Calibri" w:hAnsi="Calibri"/>
          <w:color w:val="525866"/>
          <w:sz w:val="22"/>
        </w:rPr>
        <w:t xml:space="preserve">Heading into Q2 2026 earnings on July 22, AT&amp;T faces a market that has already punished the stock </w:t>
      </w:r>
      <w:r>
        <w:rPr>
          <w:rFonts w:ascii="Calibri" w:hAnsi="Calibri"/>
          <w:b/>
          <w:color w:val="E5484D"/>
          <w:sz w:val="22"/>
        </w:rPr>
        <w:t>-14.3% since Q1 earnings</w:t>
      </w:r>
      <w:r>
        <w:rPr>
          <w:rFonts w:ascii="Calibri" w:hAnsi="Calibri"/>
          <w:color w:val="525866"/>
          <w:sz w:val="22"/>
        </w:rPr>
        <w:t xml:space="preserve"> (vs. S&amp;P 500 +5.2%), suggesting the bar is low but not absent. Consensus expects </w:t>
      </w:r>
      <w:r>
        <w:rPr>
          <w:rFonts w:ascii="Calibri" w:hAnsi="Calibri"/>
          <w:color w:val="525866"/>
          <w:sz w:val="22"/>
        </w:rPr>
        <w:t>wireless service revenue of ~$17.2B (+2.1% YoY)</w:t>
      </w:r>
      <w:r>
        <w:rPr>
          <w:rFonts w:ascii="Calibri" w:hAnsi="Calibri"/>
          <w:color w:val="525866"/>
          <w:sz w:val="22"/>
        </w:rPr>
        <w:t xml:space="preserve">, operating EBITDA of ~$12.1B (+3.0% YoY), and diluted operating EPS of ~$0.59 — all modest step-ups from Q1 actuals. Management guided explicitly for Q2 free cash flow of </w:t>
      </w:r>
      <w:r>
        <w:rPr>
          <w:rFonts w:ascii="Calibri" w:hAnsi="Calibri"/>
          <w:color w:val="525866"/>
          <w:sz w:val="22"/>
        </w:rPr>
        <w:t>$4.0–4.5B</w:t>
      </w:r>
      <w:r>
        <w:rPr>
          <w:rFonts w:ascii="Calibri" w:hAnsi="Calibri"/>
          <w:color w:val="525866"/>
          <w:sz w:val="22"/>
        </w:rPr>
        <w:t xml:space="preserve"> and improved wireless service revenue growth vs. Q1's ~0.4% YoY, with pricing actions from new unlimited and converged plans taking effect in Q2. Estimate revisions have been essentially flat since Q1 earnings, suggesting the Street is in a </w:t>
      </w:r>
      <w:r>
        <w:rPr>
          <w:rFonts w:ascii="Calibri" w:hAnsi="Calibri"/>
          <w:b/>
          <w:color w:val="525866"/>
          <w:sz w:val="22"/>
        </w:rPr>
        <w:t>"show me" mode</w:t>
      </w:r>
      <w:r>
        <w:rPr>
          <w:rFonts w:ascii="Calibri" w:hAnsi="Calibri"/>
          <w:color w:val="525866"/>
          <w:sz w:val="22"/>
        </w:rPr>
        <w:t xml:space="preserve"> rather than pricing in upside. The wildcard is the </w:t>
      </w:r>
      <w:r>
        <w:rPr>
          <w:rFonts w:ascii="Calibri" w:hAnsi="Calibri"/>
          <w:b/>
          <w:color w:val="525866"/>
          <w:sz w:val="22"/>
        </w:rPr>
        <w:t>CFO transition</w:t>
      </w:r>
      <w:r>
        <w:rPr>
          <w:rFonts w:ascii="Calibri" w:hAnsi="Calibri"/>
          <w:color w:val="525866"/>
          <w:sz w:val="22"/>
        </w:rPr>
        <w:t xml:space="preserve"> announced June 16 (Pascal Desroches retiring Dec 31, Jennifer Biry stepping in Jan 1, 2027) — any change in tone or guidance framing on the call could amplify market reaction in either direction, particularly given T-Mobile's pointed commentary that AT&amp;T posted the </w:t>
      </w:r>
      <w:r>
        <w:rPr>
          <w:rFonts w:ascii="Calibri" w:hAnsi="Calibri"/>
          <w:b/>
          <w:color w:val="E5484D"/>
          <w:sz w:val="22"/>
        </w:rPr>
        <w:t>largest YoY increase in postpaid phone churn</w:t>
      </w:r>
      <w:r>
        <w:rPr>
          <w:rFonts w:ascii="Calibri" w:hAnsi="Calibri"/>
          <w:color w:val="525866"/>
          <w:sz w:val="22"/>
        </w:rPr>
        <w:t xml:space="preserve"> of any carrier in Q1.</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modest but achievable bar on revenue and EBITDA; the real test is whether </w:t>
      </w:r>
      <w:r>
        <w:rPr>
          <w:rFonts w:ascii="Calibri" w:hAnsi="Calibri"/>
          <w:b/>
          <w:color w:val="525866"/>
          <w:sz w:val="22"/>
        </w:rPr>
        <w:t>postpaid phone net adds (~343K consensus) and fiber net adds (~288K consensus) can both beat</w:t>
      </w:r>
      <w:r>
        <w:rPr>
          <w:rFonts w:ascii="Calibri" w:hAnsi="Calibri"/>
          <w:color w:val="525866"/>
          <w:sz w:val="22"/>
        </w:rPr>
        <w:t>, as these are the two metrics that validate the convergence thesis and drive the stock on results day.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 Est.</w:t>
            </w:r>
          </w:p>
        </w:tc>
        <w:tc>
          <w:tcPr>
            <w:tcW w:type="dxa" w:w="1234"/>
          </w:tcPr>
          <w:p>
            <w:r>
              <w:rPr>
                <w:rFonts w:ascii="Calibri" w:hAnsi="Calibri"/>
                <w:b/>
                <w:sz w:val="22"/>
              </w:rPr>
              <w:t>YoY Change</w:t>
            </w:r>
          </w:p>
        </w:tc>
        <w:tc>
          <w:tcPr>
            <w:tcW w:type="dxa" w:w="1234"/>
          </w:tcPr>
          <w:p>
            <w:r>
              <w:rPr>
                <w:rFonts w:ascii="Calibri" w:hAnsi="Calibri"/>
                <w:b/>
                <w:sz w:val="22"/>
              </w:rPr>
              <w:t>Guidance</w:t>
            </w:r>
          </w:p>
        </w:tc>
        <w:tc>
          <w:tcPr>
            <w:tcW w:type="dxa" w:w="1234"/>
          </w:tcPr>
          <w:p>
            <w:r>
              <w:rPr>
                <w:rFonts w:ascii="Calibri" w:hAnsi="Calibri"/>
                <w:b/>
                <w:sz w:val="22"/>
              </w:rPr>
              <w:t>Consensus vs. Guidance</w:t>
            </w:r>
          </w:p>
        </w:tc>
      </w:tr>
      <w:tr>
        <w:tc>
          <w:tcPr>
            <w:tcW w:type="dxa" w:w="1234"/>
          </w:tcPr>
          <w:p>
            <w:r>
              <w:rPr>
                <w:rFonts w:ascii="Calibri" w:hAnsi="Calibri"/>
                <w:sz w:val="22"/>
              </w:rPr>
              <w:t>Operating Revenues</w:t>
            </w:r>
          </w:p>
        </w:tc>
        <w:tc>
          <w:tcPr>
            <w:tcW w:type="dxa" w:w="1234"/>
          </w:tcPr>
          <w:p>
            <w:r>
              <w:rPr>
                <w:rFonts w:ascii="Calibri" w:hAnsi="Calibri"/>
                <w:sz w:val="22"/>
              </w:rPr>
              <w:t>$31.5B</w:t>
            </w:r>
          </w:p>
        </w:tc>
        <w:tc>
          <w:tcPr>
            <w:tcW w:type="dxa" w:w="1234"/>
          </w:tcPr>
          <w:p>
            <w:r>
              <w:rPr>
                <w:rFonts w:ascii="Calibri" w:hAnsi="Calibri"/>
                <w:sz w:val="22"/>
              </w:rPr>
              <w:t>$30.8B</w:t>
            </w:r>
          </w:p>
        </w:tc>
        <w:tc>
          <w:tcPr>
            <w:tcW w:type="dxa" w:w="1234"/>
          </w:tcPr>
          <w:p>
            <w:r>
              <w:rPr>
                <w:rFonts w:ascii="Calibri" w:hAnsi="Calibri"/>
                <w:sz w:val="22"/>
              </w:rPr>
              <w:t>$31.7B</w:t>
            </w:r>
          </w:p>
        </w:tc>
        <w:tc>
          <w:tcPr>
            <w:tcW w:type="dxa" w:w="1234"/>
          </w:tcPr>
          <w:p>
            <w:r>
              <w:rPr>
                <w:rFonts w:ascii="Calibri" w:hAnsi="Calibri"/>
                <w:sz w:val="22"/>
              </w:rPr>
              <w:t>+2.9%</w:t>
            </w:r>
          </w:p>
        </w:tc>
        <w:tc>
          <w:tcPr>
            <w:tcW w:type="dxa" w:w="1234"/>
          </w:tcPr>
          <w:p>
            <w:r>
              <w:rPr>
                <w:rFonts w:ascii="Calibri" w:hAnsi="Calibri"/>
                <w:sz w:val="22"/>
              </w:rPr>
              <w:t>Low-single-digit service rev growth (FY)</w:t>
            </w:r>
          </w:p>
        </w:tc>
        <w:tc>
          <w:tcPr>
            <w:tcW w:type="dxa" w:w="1234"/>
          </w:tcPr>
          <w:p>
            <w:r>
              <w:rPr>
                <w:rFonts w:ascii="Calibri" w:hAnsi="Calibri"/>
                <w:sz w:val="22"/>
              </w:rPr>
              <w:t>In line</w:t>
            </w:r>
          </w:p>
        </w:tc>
      </w:tr>
      <w:tr>
        <w:tc>
          <w:tcPr>
            <w:tcW w:type="dxa" w:w="1234"/>
          </w:tcPr>
          <w:p>
            <w:r>
              <w:rPr>
                <w:rFonts w:ascii="Calibri" w:hAnsi="Calibri"/>
                <w:sz w:val="22"/>
              </w:rPr>
              <w:t>Wireless Service Revenue</w:t>
            </w:r>
          </w:p>
        </w:tc>
        <w:tc>
          <w:tcPr>
            <w:tcW w:type="dxa" w:w="1234"/>
          </w:tcPr>
          <w:p>
            <w:r>
              <w:rPr>
                <w:rFonts w:ascii="Calibri" w:hAnsi="Calibri"/>
                <w:sz w:val="22"/>
              </w:rPr>
              <w:t>$16.9B</w:t>
            </w:r>
          </w:p>
        </w:tc>
        <w:tc>
          <w:tcPr>
            <w:tcW w:type="dxa" w:w="1234"/>
          </w:tcPr>
          <w:p>
            <w:r>
              <w:rPr>
                <w:rFonts w:ascii="Calibri" w:hAnsi="Calibri"/>
                <w:sz w:val="22"/>
              </w:rPr>
              <w:t>$16.9B</w:t>
            </w:r>
          </w:p>
        </w:tc>
        <w:tc>
          <w:tcPr>
            <w:tcW w:type="dxa" w:w="1234"/>
          </w:tcPr>
          <w:p>
            <w:r>
              <w:rPr>
                <w:rFonts w:ascii="Calibri" w:hAnsi="Calibri"/>
                <w:sz w:val="22"/>
              </w:rPr>
              <w:t>$17.2B</w:t>
            </w:r>
          </w:p>
        </w:tc>
        <w:tc>
          <w:tcPr>
            <w:tcW w:type="dxa" w:w="1234"/>
          </w:tcPr>
          <w:p>
            <w:r>
              <w:rPr>
                <w:rFonts w:ascii="Calibri" w:hAnsi="Calibri"/>
                <w:sz w:val="22"/>
              </w:rPr>
              <w:t>+2.1%</w:t>
            </w:r>
          </w:p>
        </w:tc>
        <w:tc>
          <w:tcPr>
            <w:tcW w:type="dxa" w:w="1234"/>
          </w:tcPr>
          <w:p>
            <w:r>
              <w:rPr>
                <w:rFonts w:ascii="Calibri" w:hAnsi="Calibri"/>
                <w:sz w:val="22"/>
              </w:rPr>
              <w:t>2%–3% FY growth; Q2 to improve vs. Q1</w:t>
            </w:r>
          </w:p>
        </w:tc>
        <w:tc>
          <w:tcPr>
            <w:tcW w:type="dxa" w:w="1234"/>
          </w:tcPr>
          <w:p>
            <w:r>
              <w:rPr>
                <w:rFonts w:ascii="Calibri" w:hAnsi="Calibri"/>
                <w:sz w:val="22"/>
              </w:rPr>
              <w:t>In line</w:t>
            </w:r>
          </w:p>
        </w:tc>
      </w:tr>
      <w:tr>
        <w:tc>
          <w:tcPr>
            <w:tcW w:type="dxa" w:w="1234"/>
          </w:tcPr>
          <w:p>
            <w:r>
              <w:rPr>
                <w:rFonts w:ascii="Calibri" w:hAnsi="Calibri"/>
                <w:sz w:val="22"/>
              </w:rPr>
              <w:t>Operating EBITDA (Adj.)</w:t>
            </w:r>
          </w:p>
        </w:tc>
        <w:tc>
          <w:tcPr>
            <w:tcW w:type="dxa" w:w="1234"/>
          </w:tcPr>
          <w:p>
            <w:r>
              <w:rPr>
                <w:rFonts w:ascii="Calibri" w:hAnsi="Calibri"/>
                <w:sz w:val="22"/>
              </w:rPr>
              <w:t>$11.8B</w:t>
            </w:r>
          </w:p>
        </w:tc>
        <w:tc>
          <w:tcPr>
            <w:tcW w:type="dxa" w:w="1234"/>
          </w:tcPr>
          <w:p>
            <w:r>
              <w:rPr>
                <w:rFonts w:ascii="Calibri" w:hAnsi="Calibri"/>
                <w:sz w:val="22"/>
              </w:rPr>
              <w:t>$11.7B</w:t>
            </w:r>
          </w:p>
        </w:tc>
        <w:tc>
          <w:tcPr>
            <w:tcW w:type="dxa" w:w="1234"/>
          </w:tcPr>
          <w:p>
            <w:r>
              <w:rPr>
                <w:rFonts w:ascii="Calibri" w:hAnsi="Calibri"/>
                <w:sz w:val="22"/>
              </w:rPr>
              <w:t>$12.1B</w:t>
            </w:r>
          </w:p>
        </w:tc>
        <w:tc>
          <w:tcPr>
            <w:tcW w:type="dxa" w:w="1234"/>
          </w:tcPr>
          <w:p>
            <w:r>
              <w:rPr>
                <w:rFonts w:ascii="Calibri" w:hAnsi="Calibri"/>
                <w:sz w:val="22"/>
              </w:rPr>
              <w:t>+3.0%</w:t>
            </w:r>
          </w:p>
        </w:tc>
        <w:tc>
          <w:tcPr>
            <w:tcW w:type="dxa" w:w="1234"/>
          </w:tcPr>
          <w:p>
            <w:r>
              <w:rPr>
                <w:rFonts w:ascii="Calibri" w:hAnsi="Calibri"/>
                <w:sz w:val="22"/>
              </w:rPr>
              <w:t>3%–4% FY growth; Q2 to improve vs. Q1</w:t>
            </w:r>
          </w:p>
        </w:tc>
        <w:tc>
          <w:tcPr>
            <w:tcW w:type="dxa" w:w="1234"/>
          </w:tcPr>
          <w:p>
            <w:r>
              <w:rPr>
                <w:rFonts w:ascii="Calibri" w:hAnsi="Calibri"/>
                <w:sz w:val="22"/>
              </w:rPr>
              <w:t>In line</w:t>
            </w:r>
          </w:p>
        </w:tc>
      </w:tr>
      <w:tr>
        <w:tc>
          <w:tcPr>
            <w:tcW w:type="dxa" w:w="1234"/>
          </w:tcPr>
          <w:p>
            <w:r>
              <w:rPr>
                <w:rFonts w:ascii="Calibri" w:hAnsi="Calibri"/>
                <w:sz w:val="22"/>
              </w:rPr>
              <w:t>Diluted Operating EPS</w:t>
            </w:r>
          </w:p>
        </w:tc>
        <w:tc>
          <w:tcPr>
            <w:tcW w:type="dxa" w:w="1234"/>
          </w:tcPr>
          <w:p>
            <w:r>
              <w:rPr>
                <w:rFonts w:ascii="Calibri" w:hAnsi="Calibri"/>
                <w:sz w:val="22"/>
              </w:rPr>
              <w:t>$0.57</w:t>
            </w:r>
          </w:p>
        </w:tc>
        <w:tc>
          <w:tcPr>
            <w:tcW w:type="dxa" w:w="1234"/>
          </w:tcPr>
          <w:p>
            <w:r>
              <w:rPr>
                <w:rFonts w:ascii="Calibri" w:hAnsi="Calibri"/>
                <w:sz w:val="22"/>
              </w:rPr>
              <w:t>$0.54</w:t>
            </w:r>
          </w:p>
        </w:tc>
        <w:tc>
          <w:tcPr>
            <w:tcW w:type="dxa" w:w="1234"/>
          </w:tcPr>
          <w:p>
            <w:r>
              <w:rPr>
                <w:rFonts w:ascii="Calibri" w:hAnsi="Calibri"/>
                <w:sz w:val="22"/>
              </w:rPr>
              <w:t>$0.59</w:t>
            </w:r>
          </w:p>
        </w:tc>
        <w:tc>
          <w:tcPr>
            <w:tcW w:type="dxa" w:w="1234"/>
          </w:tcPr>
          <w:p>
            <w:r>
              <w:rPr>
                <w:rFonts w:ascii="Calibri" w:hAnsi="Calibri"/>
                <w:sz w:val="22"/>
              </w:rPr>
              <w:t>+9.3%</w:t>
            </w:r>
          </w:p>
        </w:tc>
        <w:tc>
          <w:tcPr>
            <w:tcW w:type="dxa" w:w="1234"/>
          </w:tcPr>
          <w:p>
            <w:r>
              <w:rPr>
                <w:rFonts w:ascii="Calibri" w:hAnsi="Calibri"/>
                <w:sz w:val="22"/>
              </w:rPr>
              <w:t>$2.25–$2.35 FY; implies ~$0.57–$0.59/Q</w:t>
            </w:r>
          </w:p>
        </w:tc>
        <w:tc>
          <w:tcPr>
            <w:tcW w:type="dxa" w:w="1234"/>
          </w:tcPr>
          <w:p>
            <w:r>
              <w:rPr>
                <w:rFonts w:ascii="Calibri" w:hAnsi="Calibri"/>
                <w:sz w:val="22"/>
              </w:rPr>
              <w:t>In line</w:t>
            </w:r>
          </w:p>
        </w:tc>
      </w:tr>
      <w:tr>
        <w:tc>
          <w:tcPr>
            <w:tcW w:type="dxa" w:w="1234"/>
          </w:tcPr>
          <w:p>
            <w:r>
              <w:rPr>
                <w:rFonts w:ascii="Calibri" w:hAnsi="Calibri"/>
                <w:sz w:val="22"/>
              </w:rPr>
              <w:t>Free Cash Flow</w:t>
            </w:r>
          </w:p>
        </w:tc>
        <w:tc>
          <w:tcPr>
            <w:tcW w:type="dxa" w:w="1234"/>
          </w:tcPr>
          <w:p>
            <w:r>
              <w:rPr>
                <w:rFonts w:ascii="Calibri" w:hAnsi="Calibri"/>
                <w:sz w:val="22"/>
              </w:rPr>
              <w:t>$2.5B</w:t>
            </w:r>
          </w:p>
        </w:tc>
        <w:tc>
          <w:tcPr>
            <w:tcW w:type="dxa" w:w="1234"/>
          </w:tcPr>
          <w:p>
            <w:r>
              <w:rPr>
                <w:rFonts w:ascii="Calibri" w:hAnsi="Calibri"/>
                <w:sz w:val="22"/>
              </w:rPr>
              <w:t>$4.4B</w:t>
            </w:r>
          </w:p>
        </w:tc>
        <w:tc>
          <w:tcPr>
            <w:tcW w:type="dxa" w:w="1234"/>
          </w:tcPr>
          <w:p>
            <w:r>
              <w:rPr>
                <w:rFonts w:ascii="Calibri" w:hAnsi="Calibri"/>
                <w:sz w:val="22"/>
              </w:rPr>
              <w:t>$4.4B</w:t>
            </w:r>
          </w:p>
        </w:tc>
        <w:tc>
          <w:tcPr>
            <w:tcW w:type="dxa" w:w="1234"/>
          </w:tcPr>
          <w:p>
            <w:r>
              <w:rPr>
                <w:rFonts w:ascii="Calibri" w:hAnsi="Calibri"/>
                <w:sz w:val="22"/>
              </w:rPr>
              <w:t>+0.1%</w:t>
            </w:r>
          </w:p>
        </w:tc>
        <w:tc>
          <w:tcPr>
            <w:tcW w:type="dxa" w:w="1234"/>
          </w:tcPr>
          <w:p>
            <w:r>
              <w:rPr>
                <w:rFonts w:ascii="Calibri" w:hAnsi="Calibri"/>
                <w:sz w:val="22"/>
              </w:rPr>
              <w:t>$4.0B–$4.5B Q2 explicit guidance</w:t>
            </w:r>
          </w:p>
        </w:tc>
        <w:tc>
          <w:tcPr>
            <w:tcW w:type="dxa" w:w="1234"/>
          </w:tcPr>
          <w:p>
            <w:r>
              <w:rPr>
                <w:rFonts w:ascii="Calibri" w:hAnsi="Calibri"/>
                <w:sz w:val="22"/>
              </w:rPr>
              <w:t>At midpoint</w:t>
            </w:r>
          </w:p>
        </w:tc>
      </w:tr>
      <w:tr>
        <w:tc>
          <w:tcPr>
            <w:tcW w:type="dxa" w:w="1234"/>
          </w:tcPr>
          <w:p>
            <w:r>
              <w:rPr>
                <w:rFonts w:ascii="Calibri" w:hAnsi="Calibri"/>
                <w:sz w:val="22"/>
              </w:rPr>
              <w:t>AT&amp;T Fiber Net Adds</w:t>
            </w:r>
          </w:p>
        </w:tc>
        <w:tc>
          <w:tcPr>
            <w:tcW w:type="dxa" w:w="1234"/>
          </w:tcPr>
          <w:p>
            <w:r>
              <w:rPr>
                <w:rFonts w:ascii="Calibri" w:hAnsi="Calibri"/>
                <w:sz w:val="22"/>
              </w:rPr>
              <w:t>1,394K (incl. Lumen)</w:t>
            </w:r>
          </w:p>
        </w:tc>
        <w:tc>
          <w:tcPr>
            <w:tcW w:type="dxa" w:w="1234"/>
          </w:tcPr>
          <w:p>
            <w:r>
              <w:rPr>
                <w:rFonts w:ascii="Calibri" w:hAnsi="Calibri"/>
                <w:sz w:val="22"/>
              </w:rPr>
              <w:t>243K</w:t>
            </w:r>
          </w:p>
        </w:tc>
        <w:tc>
          <w:tcPr>
            <w:tcW w:type="dxa" w:w="1234"/>
          </w:tcPr>
          <w:p>
            <w:r>
              <w:rPr>
                <w:rFonts w:ascii="Calibri" w:hAnsi="Calibri"/>
                <w:sz w:val="22"/>
              </w:rPr>
              <w:t>288K</w:t>
            </w:r>
          </w:p>
        </w:tc>
        <w:tc>
          <w:tcPr>
            <w:tcW w:type="dxa" w:w="1234"/>
          </w:tcPr>
          <w:p>
            <w:r>
              <w:rPr>
                <w:rFonts w:ascii="Calibri" w:hAnsi="Calibri"/>
                <w:sz w:val="22"/>
              </w:rPr>
              <w:t>+18.5%</w:t>
            </w:r>
          </w:p>
        </w:tc>
        <w:tc>
          <w:tcPr>
            <w:tcW w:type="dxa" w:w="1234"/>
          </w:tcPr>
          <w:p>
            <w:r>
              <w:rPr>
                <w:rFonts w:ascii="Calibri" w:hAnsi="Calibri"/>
                <w:sz w:val="22"/>
              </w:rPr>
              <w:t>Improved trends over course of year</w:t>
            </w:r>
          </w:p>
        </w:tc>
        <w:tc>
          <w:tcPr>
            <w:tcW w:type="dxa" w:w="1234"/>
          </w:tcPr>
          <w:p>
            <w:r>
              <w:rPr>
                <w:rFonts w:ascii="Calibri" w:hAnsi="Calibri"/>
                <w:sz w:val="22"/>
              </w:rPr>
              <w:t>In line</w:t>
            </w:r>
          </w:p>
        </w:tc>
      </w:tr>
      <w:tr>
        <w:tc>
          <w:tcPr>
            <w:tcW w:type="dxa" w:w="1234"/>
          </w:tcPr>
          <w:p>
            <w:r>
              <w:rPr>
                <w:rFonts w:ascii="Calibri" w:hAnsi="Calibri"/>
                <w:sz w:val="22"/>
              </w:rPr>
              <w:t>Postpaid Phone Net Adds</w:t>
            </w:r>
          </w:p>
        </w:tc>
        <w:tc>
          <w:tcPr>
            <w:tcW w:type="dxa" w:w="1234"/>
          </w:tcPr>
          <w:p>
            <w:r>
              <w:rPr>
                <w:rFonts w:ascii="Calibri" w:hAnsi="Calibri"/>
                <w:sz w:val="22"/>
              </w:rPr>
              <w:t>289K</w:t>
            </w:r>
          </w:p>
        </w:tc>
        <w:tc>
          <w:tcPr>
            <w:tcW w:type="dxa" w:w="1234"/>
          </w:tcPr>
          <w:p>
            <w:r>
              <w:rPr>
                <w:rFonts w:ascii="Calibri" w:hAnsi="Calibri"/>
                <w:sz w:val="22"/>
              </w:rPr>
              <w:t>377K</w:t>
            </w:r>
          </w:p>
        </w:tc>
        <w:tc>
          <w:tcPr>
            <w:tcW w:type="dxa" w:w="1234"/>
          </w:tcPr>
          <w:p>
            <w:r>
              <w:rPr>
                <w:rFonts w:ascii="Calibri" w:hAnsi="Calibri"/>
                <w:sz w:val="22"/>
              </w:rPr>
              <w:t>343K</w:t>
            </w:r>
          </w:p>
        </w:tc>
        <w:tc>
          <w:tcPr>
            <w:tcW w:type="dxa" w:w="1234"/>
          </w:tcPr>
          <w:p>
            <w:r>
              <w:rPr>
                <w:rFonts w:ascii="Calibri" w:hAnsi="Calibri"/>
                <w:sz w:val="22"/>
              </w:rPr>
              <w:t>-9.0%</w:t>
            </w:r>
          </w:p>
        </w:tc>
        <w:tc>
          <w:tcPr>
            <w:tcW w:type="dxa" w:w="1234"/>
          </w:tcPr>
          <w:p>
            <w:r>
              <w:rPr>
                <w:rFonts w:ascii="Calibri" w:hAnsi="Calibri"/>
                <w:sz w:val="22"/>
              </w:rPr>
              <w:t>Customer gains from new plans</w:t>
            </w:r>
          </w:p>
        </w:tc>
        <w:tc>
          <w:tcPr>
            <w:tcW w:type="dxa" w:w="1234"/>
          </w:tcPr>
          <w:p>
            <w:r>
              <w:rPr>
                <w:rFonts w:ascii="Calibri" w:hAnsi="Calibri"/>
                <w:sz w:val="22"/>
              </w:rPr>
              <w:t>In line</w:t>
            </w:r>
          </w:p>
        </w:tc>
      </w:tr>
      <w:tr>
        <w:tc>
          <w:tcPr>
            <w:tcW w:type="dxa" w:w="1234"/>
          </w:tcPr>
          <w:p>
            <w:r>
              <w:rPr>
                <w:rFonts w:ascii="Calibri" w:hAnsi="Calibri"/>
                <w:sz w:val="22"/>
              </w:rPr>
              <w:t>Postpaid Phone ARPU</w:t>
            </w:r>
          </w:p>
        </w:tc>
        <w:tc>
          <w:tcPr>
            <w:tcW w:type="dxa" w:w="1234"/>
          </w:tcPr>
          <w:p>
            <w:r>
              <w:rPr>
                <w:rFonts w:ascii="Calibri" w:hAnsi="Calibri"/>
                <w:sz w:val="22"/>
              </w:rPr>
              <w:t>$56.51</w:t>
            </w:r>
          </w:p>
        </w:tc>
        <w:tc>
          <w:tcPr>
            <w:tcW w:type="dxa" w:w="1234"/>
          </w:tcPr>
          <w:p>
            <w:r>
              <w:rPr>
                <w:rFonts w:ascii="Calibri" w:hAnsi="Calibri"/>
                <w:sz w:val="22"/>
              </w:rPr>
              <w:t>$57.04</w:t>
            </w:r>
          </w:p>
        </w:tc>
        <w:tc>
          <w:tcPr>
            <w:tcW w:type="dxa" w:w="1234"/>
          </w:tcPr>
          <w:p>
            <w:r>
              <w:rPr>
                <w:rFonts w:ascii="Calibri" w:hAnsi="Calibri"/>
                <w:sz w:val="22"/>
              </w:rPr>
              <w:t>$57.20</w:t>
            </w:r>
          </w:p>
        </w:tc>
        <w:tc>
          <w:tcPr>
            <w:tcW w:type="dxa" w:w="1234"/>
          </w:tcPr>
          <w:p>
            <w:r>
              <w:rPr>
                <w:rFonts w:ascii="Calibri" w:hAnsi="Calibri"/>
                <w:sz w:val="22"/>
              </w:rPr>
              <w:t>+0.3%</w:t>
            </w:r>
          </w:p>
        </w:tc>
        <w:tc>
          <w:tcPr>
            <w:tcW w:type="dxa" w:w="1234"/>
          </w:tcPr>
          <w:p>
            <w:r>
              <w:rPr>
                <w:rFonts w:ascii="Calibri" w:hAnsi="Calibri"/>
                <w:sz w:val="22"/>
              </w:rPr>
              <w:t>Relatively stable ARPU</w:t>
            </w:r>
          </w:p>
        </w:tc>
        <w:tc>
          <w:tcPr>
            <w:tcW w:type="dxa" w:w="1234"/>
          </w:tcPr>
          <w:p>
            <w:r>
              <w:rPr>
                <w:rFonts w:ascii="Calibri" w:hAnsi="Calibri"/>
                <w:sz w:val="22"/>
              </w:rPr>
              <w:t>In line</w:t>
            </w:r>
          </w:p>
        </w:tc>
      </w:tr>
      <w:tr>
        <w:tc>
          <w:tcPr>
            <w:tcW w:type="dxa" w:w="1234"/>
          </w:tcPr>
          <w:p>
            <w:r>
              <w:rPr>
                <w:rFonts w:ascii="Calibri" w:hAnsi="Calibri"/>
                <w:sz w:val="22"/>
              </w:rPr>
              <w:t>Postpaid Phone Churn</w:t>
            </w:r>
          </w:p>
        </w:tc>
        <w:tc>
          <w:tcPr>
            <w:tcW w:type="dxa" w:w="1234"/>
          </w:tcPr>
          <w:p>
            <w:r>
              <w:rPr>
                <w:rFonts w:ascii="Calibri" w:hAnsi="Calibri"/>
                <w:sz w:val="22"/>
              </w:rPr>
              <w:t>0.89%</w:t>
            </w:r>
          </w:p>
        </w:tc>
        <w:tc>
          <w:tcPr>
            <w:tcW w:type="dxa" w:w="1234"/>
          </w:tcPr>
          <w:p>
            <w:r>
              <w:rPr>
                <w:rFonts w:ascii="Calibri" w:hAnsi="Calibri"/>
                <w:sz w:val="22"/>
              </w:rPr>
              <w:t>0.87%</w:t>
            </w:r>
          </w:p>
        </w:tc>
        <w:tc>
          <w:tcPr>
            <w:tcW w:type="dxa" w:w="1234"/>
          </w:tcPr>
          <w:p>
            <w:r>
              <w:rPr>
                <w:rFonts w:ascii="Calibri" w:hAnsi="Calibri"/>
                <w:sz w:val="22"/>
              </w:rPr>
              <w:t>0.90%</w:t>
            </w:r>
          </w:p>
        </w:tc>
        <w:tc>
          <w:tcPr>
            <w:tcW w:type="dxa" w:w="1234"/>
          </w:tcPr>
          <w:p>
            <w:r>
              <w:rPr>
                <w:rFonts w:ascii="Calibri" w:hAnsi="Calibri"/>
                <w:sz w:val="22"/>
              </w:rPr>
              <w:t>+3 bps</w:t>
            </w:r>
          </w:p>
        </w:tc>
        <w:tc>
          <w:tcPr>
            <w:tcW w:type="dxa" w:w="1234"/>
          </w:tcPr>
          <w:p>
            <w:r>
              <w:rPr>
                <w:rFonts w:ascii="Calibri" w:hAnsi="Calibri"/>
                <w:sz w:val="22"/>
              </w:rPr>
              <w:t>Elevated near-term; convergence to help</w:t>
            </w:r>
          </w:p>
        </w:tc>
        <w:tc>
          <w:tcPr>
            <w:tcW w:type="dxa" w:w="1234"/>
          </w:tcPr>
          <w:p>
            <w:r>
              <w:rPr>
                <w:rFonts w:ascii="Calibri" w:hAnsi="Calibri"/>
                <w:sz w:val="22"/>
              </w:rPr>
              <w:t>In line</w:t>
            </w:r>
          </w:p>
        </w:tc>
      </w:tr>
      <w:tr>
        <w:tc>
          <w:tcPr>
            <w:tcW w:type="dxa" w:w="1234"/>
          </w:tcPr>
          <w:p>
            <w:r>
              <w:rPr>
                <w:rFonts w:ascii="Calibri" w:hAnsi="Calibri"/>
                <w:sz w:val="22"/>
              </w:rPr>
              <w:t>Advanced Connectivity Revenue</w:t>
            </w:r>
          </w:p>
        </w:tc>
        <w:tc>
          <w:tcPr>
            <w:tcW w:type="dxa" w:w="1234"/>
          </w:tcPr>
          <w:p>
            <w:r>
              <w:rPr>
                <w:rFonts w:ascii="Calibri" w:hAnsi="Calibri"/>
                <w:sz w:val="22"/>
              </w:rPr>
              <w:t>$28.5B</w:t>
            </w:r>
          </w:p>
        </w:tc>
        <w:tc>
          <w:tcPr>
            <w:tcW w:type="dxa" w:w="1234"/>
          </w:tcPr>
          <w:p>
            <w:r>
              <w:rPr>
                <w:rFonts w:ascii="Calibri" w:hAnsi="Calibri"/>
                <w:sz w:val="22"/>
              </w:rPr>
              <w:t>$27.5B</w:t>
            </w:r>
          </w:p>
        </w:tc>
        <w:tc>
          <w:tcPr>
            <w:tcW w:type="dxa" w:w="1234"/>
          </w:tcPr>
          <w:p>
            <w:r>
              <w:rPr>
                <w:rFonts w:ascii="Calibri" w:hAnsi="Calibri"/>
                <w:sz w:val="22"/>
              </w:rPr>
              <w:t>$28.9B</w:t>
            </w:r>
          </w:p>
        </w:tc>
        <w:tc>
          <w:tcPr>
            <w:tcW w:type="dxa" w:w="1234"/>
          </w:tcPr>
          <w:p>
            <w:r>
              <w:rPr>
                <w:rFonts w:ascii="Calibri" w:hAnsi="Calibri"/>
                <w:sz w:val="22"/>
              </w:rPr>
              <w:t>+5.1%</w:t>
            </w:r>
          </w:p>
        </w:tc>
        <w:tc>
          <w:tcPr>
            <w:tcW w:type="dxa" w:w="1234"/>
          </w:tcPr>
          <w:p>
            <w:r>
              <w:rPr>
                <w:rFonts w:ascii="Calibri" w:hAnsi="Calibri"/>
                <w:sz w:val="22"/>
              </w:rPr>
              <w:t>5%+ FY growth</w:t>
            </w:r>
          </w:p>
        </w:tc>
        <w:tc>
          <w:tcPr>
            <w:tcW w:type="dxa" w:w="1234"/>
          </w:tcPr>
          <w:p>
            <w:r>
              <w:rPr>
                <w:rFonts w:ascii="Calibri" w:hAnsi="Calibri"/>
                <w:sz w:val="22"/>
              </w:rPr>
              <w:t>In line</w:t>
            </w:r>
          </w:p>
        </w:tc>
      </w:tr>
    </w:tbl>
    <w:p>
      <w:r>
        <w:rPr>
          <w:rFonts w:ascii="Calibri" w:hAnsi="Calibri"/>
          <w:b/>
          <w:color w:val="525866"/>
          <w:sz w:val="22"/>
        </w:rPr>
        <w:t xml:space="preserve">Note: </w:t>
      </w:r>
      <w:r>
        <w:rPr>
          <w:rFonts w:ascii="Calibri" w:hAnsi="Calibri"/>
          <w:color w:val="525866"/>
          <w:sz w:val="22"/>
        </w:rPr>
        <w:t>Q1 2026 Fiber Net Adds of 1,394K includes ~1.1M acquired from Lumen (closed Q1 2026); organic Q2 2026 consensus of ~288K is the more relevant comparison. Source: Visible Alpha Consensus and Actuals Data.</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Wireless Service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w:t>
            </w:r>
          </w:p>
        </w:tc>
        <w:tc>
          <w:tcPr>
            <w:tcW w:type="dxa" w:w="1728"/>
          </w:tcPr>
          <w:p>
            <w:r>
              <w:rPr>
                <w:rFonts w:ascii="Calibri" w:hAnsi="Calibri"/>
                <w:b/>
                <w:sz w:val="22"/>
              </w:rPr>
              <w:t>Consensus</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$16.28B</w:t>
            </w:r>
          </w:p>
        </w:tc>
        <w:tc>
          <w:tcPr>
            <w:tcW w:type="dxa" w:w="1728"/>
          </w:tcPr>
          <w:p>
            <w:r>
              <w:rPr>
                <w:rFonts w:ascii="Calibri" w:hAnsi="Calibri"/>
                <w:sz w:val="22"/>
              </w:rPr>
              <w:t>$16.24B</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$16.54B</w:t>
            </w:r>
          </w:p>
        </w:tc>
        <w:tc>
          <w:tcPr>
            <w:tcW w:type="dxa" w:w="1728"/>
          </w:tcPr>
          <w:p>
            <w:r>
              <w:rPr>
                <w:rFonts w:ascii="Calibri" w:hAnsi="Calibri"/>
                <w:sz w:val="22"/>
              </w:rPr>
              <w:t>$16.43B</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$16.56B</w:t>
            </w:r>
          </w:p>
        </w:tc>
        <w:tc>
          <w:tcPr>
            <w:tcW w:type="dxa" w:w="1728"/>
          </w:tcPr>
          <w:p>
            <w:r>
              <w:rPr>
                <w:rFonts w:ascii="Calibri" w:hAnsi="Calibri"/>
                <w:sz w:val="22"/>
              </w:rPr>
              <w:t>$16.55B</w:t>
            </w:r>
          </w:p>
        </w:tc>
        <w:tc>
          <w:tcPr>
            <w:tcW w:type="dxa" w:w="1728"/>
          </w:tcPr>
          <w:p>
            <w:r>
              <w:rPr>
                <w:rFonts w:ascii="Calibri" w:hAnsi="Calibri"/>
                <w:sz w:val="22"/>
              </w:rPr>
              <w:t>+0.1%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$16.65B</w:t>
            </w:r>
          </w:p>
        </w:tc>
        <w:tc>
          <w:tcPr>
            <w:tcW w:type="dxa" w:w="1728"/>
          </w:tcPr>
          <w:p>
            <w:r>
              <w:rPr>
                <w:rFonts w:ascii="Calibri" w:hAnsi="Calibri"/>
                <w:sz w:val="22"/>
              </w:rPr>
              <w:t>$16.53B</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$16.85B</w:t>
            </w:r>
          </w:p>
        </w:tc>
        <w:tc>
          <w:tcPr>
            <w:tcW w:type="dxa" w:w="1728"/>
          </w:tcPr>
          <w:p>
            <w:r>
              <w:rPr>
                <w:rFonts w:ascii="Calibri" w:hAnsi="Calibri"/>
                <w:sz w:val="22"/>
              </w:rPr>
              <w:t>$16.80B</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$16.93B</w:t>
            </w:r>
          </w:p>
        </w:tc>
        <w:tc>
          <w:tcPr>
            <w:tcW w:type="dxa" w:w="1728"/>
          </w:tcPr>
          <w:p>
            <w:r>
              <w:rPr>
                <w:rFonts w:ascii="Calibri" w:hAnsi="Calibri"/>
                <w:sz w:val="22"/>
              </w:rPr>
              <w:t>$16.96B</w:t>
            </w:r>
          </w:p>
        </w:tc>
        <w:tc>
          <w:tcPr>
            <w:tcW w:type="dxa" w:w="1728"/>
          </w:tcPr>
          <w:p>
            <w:r>
              <w:rPr>
                <w:rFonts w:ascii="Calibri" w:hAnsi="Calibri"/>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$16.95B</w:t>
            </w:r>
          </w:p>
        </w:tc>
        <w:tc>
          <w:tcPr>
            <w:tcW w:type="dxa" w:w="1728"/>
          </w:tcPr>
          <w:p>
            <w:r>
              <w:rPr>
                <w:rFonts w:ascii="Calibri" w:hAnsi="Calibri"/>
                <w:sz w:val="22"/>
              </w:rPr>
              <w:t>$16.98B</w:t>
            </w:r>
          </w:p>
        </w:tc>
        <w:tc>
          <w:tcPr>
            <w:tcW w:type="dxa" w:w="1728"/>
          </w:tcPr>
          <w:p>
            <w:r>
              <w:rPr>
                <w:rFonts w:ascii="Calibri" w:hAnsi="Calibri"/>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$16.94B</w:t>
            </w:r>
          </w:p>
        </w:tc>
        <w:tc>
          <w:tcPr>
            <w:tcW w:type="dxa" w:w="1728"/>
          </w:tcPr>
          <w:p>
            <w:r>
              <w:rPr>
                <w:rFonts w:ascii="Calibri" w:hAnsi="Calibri"/>
                <w:sz w:val="22"/>
              </w:rPr>
              <w:t>$17.02B</w:t>
            </w:r>
          </w:p>
        </w:tc>
        <w:tc>
          <w:tcPr>
            <w:tcW w:type="dxa" w:w="1728"/>
          </w:tcPr>
          <w:p>
            <w:r>
              <w:rPr>
                <w:rFonts w:ascii="Calibri" w:hAnsi="Calibri"/>
                <w:sz w:val="22"/>
              </w:rPr>
              <w:t>-0.5%</w:t>
            </w:r>
          </w:p>
        </w:tc>
        <w:tc>
          <w:tcPr>
            <w:tcW w:type="dxa" w:w="1728"/>
          </w:tcPr>
          <w:p>
            <w:r>
              <w:rPr>
                <w:rFonts w:ascii="Calibri" w:hAnsi="Calibri"/>
                <w:b/>
                <w:color w:val="E5484D"/>
                <w:sz w:val="22"/>
              </w:rPr>
              <w:t>Miss</w:t>
            </w:r>
          </w:p>
        </w:tc>
      </w:tr>
    </w:tbl>
    <w:p>
      <w:pPr>
        <w:pStyle w:val="Heading4"/>
      </w:pPr>
      <w:r>
        <w:rPr>
          <w:rFonts w:ascii="Calibri" w:hAnsi="Calibri"/>
          <w:b/>
          <w:color w:val="3B4259"/>
          <w:sz w:val="22"/>
        </w:rPr>
        <w:t>Postpaid Phone Net Adds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w:t>
            </w:r>
          </w:p>
        </w:tc>
        <w:tc>
          <w:tcPr>
            <w:tcW w:type="dxa" w:w="1728"/>
          </w:tcPr>
          <w:p>
            <w:r>
              <w:rPr>
                <w:rFonts w:ascii="Calibri" w:hAnsi="Calibri"/>
                <w:b/>
                <w:sz w:val="22"/>
              </w:rPr>
              <w:t>Consensus</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372K</w:t>
            </w:r>
          </w:p>
        </w:tc>
        <w:tc>
          <w:tcPr>
            <w:tcW w:type="dxa" w:w="1728"/>
          </w:tcPr>
          <w:p>
            <w:r>
              <w:rPr>
                <w:rFonts w:ascii="Calibri" w:hAnsi="Calibri"/>
                <w:sz w:val="22"/>
              </w:rPr>
              <w:t>261K</w:t>
            </w:r>
          </w:p>
        </w:tc>
        <w:tc>
          <w:tcPr>
            <w:tcW w:type="dxa" w:w="1728"/>
          </w:tcPr>
          <w:p>
            <w:r>
              <w:rPr>
                <w:rFonts w:ascii="Calibri" w:hAnsi="Calibri"/>
                <w:sz w:val="22"/>
              </w:rPr>
              <w:t>+42.5%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355K</w:t>
            </w:r>
          </w:p>
        </w:tc>
        <w:tc>
          <w:tcPr>
            <w:tcW w:type="dxa" w:w="1728"/>
          </w:tcPr>
          <w:p>
            <w:r>
              <w:rPr>
                <w:rFonts w:ascii="Calibri" w:hAnsi="Calibri"/>
                <w:sz w:val="22"/>
              </w:rPr>
              <w:t>389K</w:t>
            </w:r>
          </w:p>
        </w:tc>
        <w:tc>
          <w:tcPr>
            <w:tcW w:type="dxa" w:w="1728"/>
          </w:tcPr>
          <w:p>
            <w:r>
              <w:rPr>
                <w:rFonts w:ascii="Calibri" w:hAnsi="Calibri"/>
                <w:sz w:val="22"/>
              </w:rPr>
              <w:t>-8.7%</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464K</w:t>
            </w:r>
          </w:p>
        </w:tc>
        <w:tc>
          <w:tcPr>
            <w:tcW w:type="dxa" w:w="1728"/>
          </w:tcPr>
          <w:p>
            <w:r>
              <w:rPr>
                <w:rFonts w:ascii="Calibri" w:hAnsi="Calibri"/>
                <w:sz w:val="22"/>
              </w:rPr>
              <w:t>421K</w:t>
            </w:r>
          </w:p>
        </w:tc>
        <w:tc>
          <w:tcPr>
            <w:tcW w:type="dxa" w:w="1728"/>
          </w:tcPr>
          <w:p>
            <w:r>
              <w:rPr>
                <w:rFonts w:ascii="Calibri" w:hAnsi="Calibri"/>
                <w:sz w:val="22"/>
              </w:rPr>
              <w:t>+10.2%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282K</w:t>
            </w:r>
          </w:p>
        </w:tc>
        <w:tc>
          <w:tcPr>
            <w:tcW w:type="dxa" w:w="1728"/>
          </w:tcPr>
          <w:p>
            <w:r>
              <w:rPr>
                <w:rFonts w:ascii="Calibri" w:hAnsi="Calibri"/>
                <w:sz w:val="22"/>
              </w:rPr>
              <w:t>248K</w:t>
            </w:r>
          </w:p>
        </w:tc>
        <w:tc>
          <w:tcPr>
            <w:tcW w:type="dxa" w:w="1728"/>
          </w:tcPr>
          <w:p>
            <w:r>
              <w:rPr>
                <w:rFonts w:ascii="Calibri" w:hAnsi="Calibri"/>
                <w:sz w:val="22"/>
              </w:rPr>
              <w:t>+13.7%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377K</w:t>
            </w:r>
          </w:p>
        </w:tc>
        <w:tc>
          <w:tcPr>
            <w:tcW w:type="dxa" w:w="1728"/>
          </w:tcPr>
          <w:p>
            <w:r>
              <w:rPr>
                <w:rFonts w:ascii="Calibri" w:hAnsi="Calibri"/>
                <w:sz w:val="22"/>
              </w:rPr>
              <w:t>293K</w:t>
            </w:r>
          </w:p>
        </w:tc>
        <w:tc>
          <w:tcPr>
            <w:tcW w:type="dxa" w:w="1728"/>
          </w:tcPr>
          <w:p>
            <w:r>
              <w:rPr>
                <w:rFonts w:ascii="Calibri" w:hAnsi="Calibri"/>
                <w:sz w:val="22"/>
              </w:rPr>
              <w:t>+28.7%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393K</w:t>
            </w:r>
          </w:p>
        </w:tc>
        <w:tc>
          <w:tcPr>
            <w:tcW w:type="dxa" w:w="1728"/>
          </w:tcPr>
          <w:p>
            <w:r>
              <w:rPr>
                <w:rFonts w:ascii="Calibri" w:hAnsi="Calibri"/>
                <w:sz w:val="22"/>
              </w:rPr>
              <w:t>306K</w:t>
            </w:r>
          </w:p>
        </w:tc>
        <w:tc>
          <w:tcPr>
            <w:tcW w:type="dxa" w:w="1728"/>
          </w:tcPr>
          <w:p>
            <w:r>
              <w:rPr>
                <w:rFonts w:ascii="Calibri" w:hAnsi="Calibri"/>
                <w:sz w:val="22"/>
              </w:rPr>
              <w:t>+28.4%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413K</w:t>
            </w:r>
          </w:p>
        </w:tc>
        <w:tc>
          <w:tcPr>
            <w:tcW w:type="dxa" w:w="1728"/>
          </w:tcPr>
          <w:p>
            <w:r>
              <w:rPr>
                <w:rFonts w:ascii="Calibri" w:hAnsi="Calibri"/>
                <w:sz w:val="22"/>
              </w:rPr>
              <w:t>428K</w:t>
            </w:r>
          </w:p>
        </w:tc>
        <w:tc>
          <w:tcPr>
            <w:tcW w:type="dxa" w:w="1728"/>
          </w:tcPr>
          <w:p>
            <w:r>
              <w:rPr>
                <w:rFonts w:ascii="Calibri" w:hAnsi="Calibri"/>
                <w:sz w:val="22"/>
              </w:rPr>
              <w:t>-3.5%</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289K</w:t>
            </w:r>
          </w:p>
        </w:tc>
        <w:tc>
          <w:tcPr>
            <w:tcW w:type="dxa" w:w="1728"/>
          </w:tcPr>
          <w:p>
            <w:r>
              <w:rPr>
                <w:rFonts w:ascii="Calibri" w:hAnsi="Calibri"/>
                <w:sz w:val="22"/>
              </w:rPr>
              <w:t>274K</w:t>
            </w:r>
          </w:p>
        </w:tc>
        <w:tc>
          <w:tcPr>
            <w:tcW w:type="dxa" w:w="1728"/>
          </w:tcPr>
          <w:p>
            <w:r>
              <w:rPr>
                <w:rFonts w:ascii="Calibri" w:hAnsi="Calibri"/>
                <w:sz w:val="22"/>
              </w:rPr>
              <w:t>+5.5%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AT&amp;T has beaten wireless service revenue consensus in 5 of the last 8 quarters, though the last 3 quarters have been misses — a trend worth watching. On postpaid phone net adds, the company has beaten in 6 of 8 quarters, often by wide margins, suggesting the Street consistently underestimates subscriber momentum.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reiterated in full at Q1 earnings with no changes; the only post-earnings development is the </w:t>
      </w:r>
      <w:r>
        <w:rPr>
          <w:rFonts w:ascii="Calibri" w:hAnsi="Calibri"/>
          <w:b/>
          <w:color w:val="525866"/>
          <w:sz w:val="22"/>
        </w:rPr>
        <w:t>CFO transition announcement (June 16)</w:t>
      </w:r>
      <w:r>
        <w:rPr>
          <w:rFonts w:ascii="Calibri" w:hAnsi="Calibri"/>
          <w:color w:val="525866"/>
          <w:sz w:val="22"/>
        </w:rPr>
        <w:t>, which introduces modest uncertainty around guidance framing but no change to the financial outlook itself.</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Apr 22)</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Wireless Service Revenue Growth</w:t>
            </w:r>
          </w:p>
        </w:tc>
        <w:tc>
          <w:tcPr>
            <w:tcW w:type="dxa" w:w="1728"/>
          </w:tcPr>
          <w:p>
            <w:r>
              <w:rPr>
                <w:rFonts w:ascii="Calibri" w:hAnsi="Calibri"/>
                <w:sz w:val="22"/>
              </w:rPr>
              <w:t>2%–3% FY 2026</w:t>
            </w:r>
          </w:p>
        </w:tc>
        <w:tc>
          <w:tcPr>
            <w:tcW w:type="dxa" w:w="1728"/>
          </w:tcPr>
          <w:p>
            <w:r>
              <w:rPr>
                <w:rFonts w:ascii="Calibri" w:hAnsi="Calibri"/>
                <w:sz w:val="22"/>
              </w:rPr>
              <w:t>—</w:t>
            </w:r>
          </w:p>
        </w:tc>
        <w:tc>
          <w:tcPr>
            <w:tcW w:type="dxa" w:w="1728"/>
          </w:tcPr>
          <w:p>
            <w:r>
              <w:rPr>
                <w:rFonts w:ascii="Calibri" w:hAnsi="Calibri"/>
                <w:sz w:val="22"/>
              </w:rPr>
              <w:t>~2.1% YoY Q2 est.</w:t>
            </w:r>
          </w:p>
        </w:tc>
        <w:tc>
          <w:tcPr>
            <w:tcW w:type="dxa" w:w="1728"/>
          </w:tcPr>
          <w:p>
            <w:r>
              <w:rPr>
                <w:rFonts w:ascii="Calibri" w:hAnsi="Calibri"/>
                <w:sz w:val="22"/>
              </w:rPr>
              <w:t>Unchanged; Q2 to improve vs. Q1</w:t>
            </w:r>
          </w:p>
        </w:tc>
      </w:tr>
      <w:tr>
        <w:tc>
          <w:tcPr>
            <w:tcW w:type="dxa" w:w="1728"/>
          </w:tcPr>
          <w:p>
            <w:r>
              <w:rPr>
                <w:rFonts w:ascii="Calibri" w:hAnsi="Calibri"/>
                <w:sz w:val="22"/>
              </w:rPr>
              <w:t>Consolidated Adj. EBITDA Growth</w:t>
            </w:r>
          </w:p>
        </w:tc>
        <w:tc>
          <w:tcPr>
            <w:tcW w:type="dxa" w:w="1728"/>
          </w:tcPr>
          <w:p>
            <w:r>
              <w:rPr>
                <w:rFonts w:ascii="Calibri" w:hAnsi="Calibri"/>
                <w:sz w:val="22"/>
              </w:rPr>
              <w:t>3%–4% FY 2026</w:t>
            </w:r>
          </w:p>
        </w:tc>
        <w:tc>
          <w:tcPr>
            <w:tcW w:type="dxa" w:w="1728"/>
          </w:tcPr>
          <w:p>
            <w:r>
              <w:rPr>
                <w:rFonts w:ascii="Calibri" w:hAnsi="Calibri"/>
                <w:sz w:val="22"/>
              </w:rPr>
              <w:t>—</w:t>
            </w:r>
          </w:p>
        </w:tc>
        <w:tc>
          <w:tcPr>
            <w:tcW w:type="dxa" w:w="1728"/>
          </w:tcPr>
          <w:p>
            <w:r>
              <w:rPr>
                <w:rFonts w:ascii="Calibri" w:hAnsi="Calibri"/>
                <w:sz w:val="22"/>
              </w:rPr>
              <w:t>~3.0% YoY Q2 est.</w:t>
            </w:r>
          </w:p>
        </w:tc>
        <w:tc>
          <w:tcPr>
            <w:tcW w:type="dxa" w:w="1728"/>
          </w:tcPr>
          <w:p>
            <w:r>
              <w:rPr>
                <w:rFonts w:ascii="Calibri" w:hAnsi="Calibri"/>
                <w:sz w:val="22"/>
              </w:rPr>
              <w:t>Unchanged; Q2 improvement expected</w:t>
            </w:r>
          </w:p>
        </w:tc>
      </w:tr>
      <w:tr>
        <w:tc>
          <w:tcPr>
            <w:tcW w:type="dxa" w:w="1728"/>
          </w:tcPr>
          <w:p>
            <w:r>
              <w:rPr>
                <w:rFonts w:ascii="Calibri" w:hAnsi="Calibri"/>
                <w:sz w:val="22"/>
              </w:rPr>
              <w:t>Diluted Operating EPS</w:t>
            </w:r>
          </w:p>
        </w:tc>
        <w:tc>
          <w:tcPr>
            <w:tcW w:type="dxa" w:w="1728"/>
          </w:tcPr>
          <w:p>
            <w:r>
              <w:rPr>
                <w:rFonts w:ascii="Calibri" w:hAnsi="Calibri"/>
                <w:sz w:val="22"/>
              </w:rPr>
              <w:t>$2.25–$2.35 FY 2026</w:t>
            </w:r>
          </w:p>
        </w:tc>
        <w:tc>
          <w:tcPr>
            <w:tcW w:type="dxa" w:w="1728"/>
          </w:tcPr>
          <w:p>
            <w:r>
              <w:rPr>
                <w:rFonts w:ascii="Calibri" w:hAnsi="Calibri"/>
                <w:sz w:val="22"/>
              </w:rPr>
              <w:t>—</w:t>
            </w:r>
          </w:p>
        </w:tc>
        <w:tc>
          <w:tcPr>
            <w:tcW w:type="dxa" w:w="1728"/>
          </w:tcPr>
          <w:p>
            <w:r>
              <w:rPr>
                <w:rFonts w:ascii="Calibri" w:hAnsi="Calibri"/>
                <w:sz w:val="22"/>
              </w:rPr>
              <w:t>$2.32 FY consensus</w:t>
            </w:r>
          </w:p>
        </w:tc>
        <w:tc>
          <w:tcPr>
            <w:tcW w:type="dxa" w:w="1728"/>
          </w:tcPr>
          <w:p>
            <w:r>
              <w:rPr>
                <w:rFonts w:ascii="Calibri" w:hAnsi="Calibri"/>
                <w:sz w:val="22"/>
              </w:rPr>
              <w:t>Unchanged; midpoint ~$2.30</w:t>
            </w:r>
          </w:p>
        </w:tc>
      </w:tr>
      <w:tr>
        <w:tc>
          <w:tcPr>
            <w:tcW w:type="dxa" w:w="1728"/>
          </w:tcPr>
          <w:p>
            <w:r>
              <w:rPr>
                <w:rFonts w:ascii="Calibri" w:hAnsi="Calibri"/>
                <w:sz w:val="22"/>
              </w:rPr>
              <w:t>Free Cash Flow</w:t>
            </w:r>
          </w:p>
        </w:tc>
        <w:tc>
          <w:tcPr>
            <w:tcW w:type="dxa" w:w="1728"/>
          </w:tcPr>
          <w:p>
            <w:r>
              <w:rPr>
                <w:rFonts w:ascii="Calibri" w:hAnsi="Calibri"/>
                <w:sz w:val="22"/>
              </w:rPr>
              <w:t>$18B+ FY 2026; $4.0–$4.5B Q2</w:t>
            </w:r>
          </w:p>
        </w:tc>
        <w:tc>
          <w:tcPr>
            <w:tcW w:type="dxa" w:w="1728"/>
          </w:tcPr>
          <w:p>
            <w:r>
              <w:rPr>
                <w:rFonts w:ascii="Calibri" w:hAnsi="Calibri"/>
                <w:sz w:val="22"/>
              </w:rPr>
              <w:t>—</w:t>
            </w:r>
          </w:p>
        </w:tc>
        <w:tc>
          <w:tcPr>
            <w:tcW w:type="dxa" w:w="1728"/>
          </w:tcPr>
          <w:p>
            <w:r>
              <w:rPr>
                <w:rFonts w:ascii="Calibri" w:hAnsi="Calibri"/>
                <w:sz w:val="22"/>
              </w:rPr>
              <w:t>$4.4B Q2 / $18.2B FY</w:t>
            </w:r>
          </w:p>
        </w:tc>
        <w:tc>
          <w:tcPr>
            <w:tcW w:type="dxa" w:w="1728"/>
          </w:tcPr>
          <w:p>
            <w:r>
              <w:rPr>
                <w:rFonts w:ascii="Calibri" w:hAnsi="Calibri"/>
                <w:sz w:val="22"/>
              </w:rPr>
              <w:t>Unchanged; explicit Q2 range provided</w:t>
            </w:r>
          </w:p>
        </w:tc>
      </w:tr>
      <w:tr>
        <w:tc>
          <w:tcPr>
            <w:tcW w:type="dxa" w:w="1728"/>
          </w:tcPr>
          <w:p>
            <w:r>
              <w:rPr>
                <w:rFonts w:ascii="Calibri" w:hAnsi="Calibri"/>
                <w:sz w:val="22"/>
              </w:rPr>
              <w:t>Fiber Locations Added</w:t>
            </w:r>
          </w:p>
        </w:tc>
        <w:tc>
          <w:tcPr>
            <w:tcW w:type="dxa" w:w="1728"/>
          </w:tcPr>
          <w:p>
            <w:r>
              <w:rPr>
                <w:rFonts w:ascii="Calibri" w:hAnsi="Calibri"/>
                <w:sz w:val="22"/>
              </w:rPr>
              <w:t>~8M in 2026 (incl. 4M+ from Lumen)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back-half ramp expected</w:t>
            </w:r>
          </w:p>
        </w:tc>
      </w:tr>
      <w:tr>
        <w:tc>
          <w:tcPr>
            <w:tcW w:type="dxa" w:w="1728"/>
          </w:tcPr>
          <w:p>
            <w:r>
              <w:rPr>
                <w:rFonts w:ascii="Calibri" w:hAnsi="Calibri"/>
                <w:sz w:val="22"/>
              </w:rPr>
              <w:t>Advanced Connectivity Service Rev.</w:t>
            </w:r>
          </w:p>
        </w:tc>
        <w:tc>
          <w:tcPr>
            <w:tcW w:type="dxa" w:w="1728"/>
          </w:tcPr>
          <w:p>
            <w:r>
              <w:rPr>
                <w:rFonts w:ascii="Calibri" w:hAnsi="Calibri"/>
                <w:sz w:val="22"/>
              </w:rPr>
              <w:t>5%+ FY 2026</w:t>
            </w:r>
          </w:p>
        </w:tc>
        <w:tc>
          <w:tcPr>
            <w:tcW w:type="dxa" w:w="1728"/>
          </w:tcPr>
          <w:p>
            <w:r>
              <w:rPr>
                <w:rFonts w:ascii="Calibri" w:hAnsi="Calibri"/>
                <w:sz w:val="22"/>
              </w:rPr>
              <w:t>—</w:t>
            </w:r>
          </w:p>
        </w:tc>
        <w:tc>
          <w:tcPr>
            <w:tcW w:type="dxa" w:w="1728"/>
          </w:tcPr>
          <w:p>
            <w:r>
              <w:rPr>
                <w:rFonts w:ascii="Calibri" w:hAnsi="Calibri"/>
                <w:sz w:val="22"/>
              </w:rPr>
              <w:t>~5.1% YoY Q2 est.</w:t>
            </w:r>
          </w:p>
        </w:tc>
        <w:tc>
          <w:tcPr>
            <w:tcW w:type="dxa" w:w="1728"/>
          </w:tcPr>
          <w:p>
            <w:r>
              <w:rPr>
                <w:rFonts w:ascii="Calibri" w:hAnsi="Calibri"/>
                <w:sz w:val="22"/>
              </w:rPr>
              <w:t>Unchanged</w:t>
            </w:r>
          </w:p>
        </w:tc>
      </w:tr>
      <w:tr>
        <w:tc>
          <w:tcPr>
            <w:tcW w:type="dxa" w:w="1728"/>
          </w:tcPr>
          <w:p>
            <w:r>
              <w:rPr>
                <w:rFonts w:ascii="Calibri" w:hAnsi="Calibri"/>
                <w:sz w:val="22"/>
              </w:rPr>
              <w:t>Legacy Service Revenue Decline</w:t>
            </w:r>
          </w:p>
        </w:tc>
        <w:tc>
          <w:tcPr>
            <w:tcW w:type="dxa" w:w="1728"/>
          </w:tcPr>
          <w:p>
            <w:r>
              <w:rPr>
                <w:rFonts w:ascii="Calibri" w:hAnsi="Calibri"/>
                <w:sz w:val="22"/>
              </w:rPr>
              <w:t>20%+ FY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25% YoY in Q1</w:t>
            </w:r>
          </w:p>
        </w:tc>
      </w:tr>
      <w:tr>
        <w:tc>
          <w:tcPr>
            <w:tcW w:type="dxa" w:w="1728"/>
          </w:tcPr>
          <w:p>
            <w:r>
              <w:rPr>
                <w:rFonts w:ascii="Calibri" w:hAnsi="Calibri"/>
                <w:sz w:val="22"/>
              </w:rPr>
              <w:t>Net Leverage</w:t>
            </w:r>
          </w:p>
        </w:tc>
        <w:tc>
          <w:tcPr>
            <w:tcW w:type="dxa" w:w="1728"/>
          </w:tcPr>
          <w:p>
            <w:r>
              <w:rPr>
                <w:rFonts w:ascii="Calibri" w:hAnsi="Calibri"/>
                <w:sz w:val="22"/>
              </w:rPr>
              <w:t>~3.2x post-EchoStar; ~3.0x by YE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CFO</w:t>
            </w:r>
          </w:p>
        </w:tc>
        <w:tc>
          <w:tcPr>
            <w:tcW w:type="dxa" w:w="1728"/>
          </w:tcPr>
          <w:p>
            <w:r>
              <w:rPr>
                <w:rFonts w:ascii="Calibri" w:hAnsi="Calibri"/>
                <w:sz w:val="22"/>
              </w:rPr>
              <w:t>Pascal Desroches (incumbent)</w:t>
            </w:r>
          </w:p>
        </w:tc>
        <w:tc>
          <w:tcPr>
            <w:tcW w:type="dxa" w:w="1728"/>
          </w:tcPr>
          <w:p>
            <w:r>
              <w:rPr>
                <w:rFonts w:ascii="Calibri" w:hAnsi="Calibri"/>
                <w:b/>
                <w:color w:val="002FA7"/>
                <w:sz w:val="22"/>
              </w:rPr>
              <w:t>Jennifer Biry named Deputy CFO (eff. Jul 6); becomes CFO Jan 1, 2027</w:t>
            </w:r>
          </w:p>
        </w:tc>
        <w:tc>
          <w:tcPr>
            <w:tcW w:type="dxa" w:w="1728"/>
          </w:tcPr>
          <w:p>
            <w:r>
              <w:rPr>
                <w:rFonts w:ascii="Calibri" w:hAnsi="Calibri"/>
                <w:sz w:val="22"/>
              </w:rPr>
              <w:t>N/A</w:t>
            </w:r>
          </w:p>
        </w:tc>
        <w:tc>
          <w:tcPr>
            <w:tcW w:type="dxa" w:w="1728"/>
          </w:tcPr>
          <w:p>
            <w:r>
              <w:rPr>
                <w:rFonts w:ascii="Calibri" w:hAnsi="Calibri"/>
                <w:sz w:val="22"/>
              </w:rPr>
              <w:t>↑ Announced Jun 16 via 8-K; Desroches retires Dec 31, 2026; Biry is AT&amp;T veteran (former WarnerMedia CFO)</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Q1 earnings — the Street is not revising up or down, consistent with management reiterating guidance unchanged. The </w:t>
      </w:r>
      <w:r>
        <w:rPr>
          <w:rFonts w:ascii="Calibri" w:hAnsi="Calibri"/>
          <w:b/>
          <w:color w:val="525866"/>
          <w:sz w:val="22"/>
        </w:rPr>
        <w:t>gap between consensus and guidance midpoints is minimal</w:t>
      </w:r>
      <w:r>
        <w:rPr>
          <w:rFonts w:ascii="Calibri" w:hAnsi="Calibri"/>
          <w:color w:val="525866"/>
          <w:sz w:val="22"/>
        </w:rPr>
        <w:t>, suggesting limited cushion for a guidance-driven re-rating unless AT&amp;T raises.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 Period</w:t>
            </w:r>
          </w:p>
        </w:tc>
        <w:tc>
          <w:tcPr>
            <w:tcW w:type="dxa" w:w="1080"/>
          </w:tcPr>
          <w:p>
            <w:r>
              <w:rPr>
                <w:rFonts w:ascii="Calibri" w:hAnsi="Calibri"/>
                <w:b/>
                <w:sz w:val="22"/>
              </w:rPr>
              <w:t>Estimate (Apr 29, 2026 — 5 days post Q1)</w:t>
            </w:r>
          </w:p>
        </w:tc>
        <w:tc>
          <w:tcPr>
            <w:tcW w:type="dxa" w:w="1080"/>
          </w:tcPr>
          <w:p>
            <w:r>
              <w:rPr>
                <w:rFonts w:ascii="Calibri" w:hAnsi="Calibri"/>
                <w:b/>
                <w:sz w:val="22"/>
              </w:rPr>
              <w:t>Current Consensus</w:t>
            </w:r>
          </w:p>
        </w:tc>
        <w:tc>
          <w:tcPr>
            <w:tcW w:type="dxa" w:w="1080"/>
          </w:tcPr>
          <w:p>
            <w:r>
              <w:rPr>
                <w:rFonts w:ascii="Calibri" w:hAnsi="Calibri"/>
                <w:b/>
                <w:sz w:val="22"/>
              </w:rPr>
              <w:t>Estimate Delta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Delta</w:t>
            </w:r>
          </w:p>
        </w:tc>
        <w:tc>
          <w:tcPr>
            <w:tcW w:type="dxa" w:w="1080"/>
          </w:tcPr>
          <w:p>
            <w:r>
              <w:rPr>
                <w:rFonts w:ascii="Calibri" w:hAnsi="Calibri"/>
                <w:b/>
                <w:sz w:val="22"/>
              </w:rPr>
              <w:t>Consensus vs. Guidance</w:t>
            </w:r>
          </w:p>
        </w:tc>
      </w:tr>
      <w:tr>
        <w:tc>
          <w:tcPr>
            <w:tcW w:type="dxa" w:w="1080"/>
          </w:tcPr>
          <w:p>
            <w:r>
              <w:rPr>
                <w:rFonts w:ascii="Calibri" w:hAnsi="Calibri"/>
                <w:sz w:val="22"/>
              </w:rPr>
              <w:t>Wireless Service Rev. — Q2 2026</w:t>
            </w:r>
          </w:p>
        </w:tc>
        <w:tc>
          <w:tcPr>
            <w:tcW w:type="dxa" w:w="1080"/>
          </w:tcPr>
          <w:p>
            <w:r>
              <w:rPr>
                <w:rFonts w:ascii="Calibri" w:hAnsi="Calibri"/>
                <w:sz w:val="22"/>
              </w:rPr>
              <w:t>$17.25B</w:t>
            </w:r>
          </w:p>
        </w:tc>
        <w:tc>
          <w:tcPr>
            <w:tcW w:type="dxa" w:w="1080"/>
          </w:tcPr>
          <w:p>
            <w:r>
              <w:rPr>
                <w:rFonts w:ascii="Calibri" w:hAnsi="Calibri"/>
                <w:sz w:val="22"/>
              </w:rPr>
              <w:t>$17.24B</w:t>
            </w:r>
          </w:p>
        </w:tc>
        <w:tc>
          <w:tcPr>
            <w:tcW w:type="dxa" w:w="1080"/>
          </w:tcPr>
          <w:p>
            <w:r>
              <w:rPr>
                <w:rFonts w:ascii="Calibri" w:hAnsi="Calibri"/>
                <w:sz w:val="22"/>
              </w:rPr>
              <w:t>-0.1%</w:t>
            </w:r>
          </w:p>
        </w:tc>
        <w:tc>
          <w:tcPr>
            <w:tcW w:type="dxa" w:w="1080"/>
          </w:tcPr>
          <w:p>
            <w:r>
              <w:rPr>
                <w:rFonts w:ascii="Calibri" w:hAnsi="Calibri"/>
                <w:sz w:val="22"/>
              </w:rPr>
              <w:t>2%–3% FY growth; Q2 to improve vs. Q1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Wireless Service Rev. — FY 2026</w:t>
            </w:r>
          </w:p>
        </w:tc>
        <w:tc>
          <w:tcPr>
            <w:tcW w:type="dxa" w:w="1080"/>
          </w:tcPr>
          <w:p>
            <w:r>
              <w:rPr>
                <w:rFonts w:ascii="Calibri" w:hAnsi="Calibri"/>
                <w:sz w:val="22"/>
              </w:rPr>
              <w:t>$69.0B</w:t>
            </w:r>
          </w:p>
        </w:tc>
        <w:tc>
          <w:tcPr>
            <w:tcW w:type="dxa" w:w="1080"/>
          </w:tcPr>
          <w:p>
            <w:r>
              <w:rPr>
                <w:rFonts w:ascii="Calibri" w:hAnsi="Calibri"/>
                <w:sz w:val="22"/>
              </w:rPr>
              <w:t>$69.0B</w:t>
            </w:r>
          </w:p>
        </w:tc>
        <w:tc>
          <w:tcPr>
            <w:tcW w:type="dxa" w:w="1080"/>
          </w:tcPr>
          <w:p>
            <w:r>
              <w:rPr>
                <w:rFonts w:ascii="Calibri" w:hAnsi="Calibri"/>
                <w:sz w:val="22"/>
              </w:rPr>
              <w:t>0.0%</w:t>
            </w:r>
          </w:p>
        </w:tc>
        <w:tc>
          <w:tcPr>
            <w:tcW w:type="dxa" w:w="1080"/>
          </w:tcPr>
          <w:p>
            <w:r>
              <w:rPr>
                <w:rFonts w:ascii="Calibri" w:hAnsi="Calibri"/>
                <w:sz w:val="22"/>
              </w:rPr>
              <w:t>2%–3%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Operating EBITDA — Q2 2026</w:t>
            </w:r>
          </w:p>
        </w:tc>
        <w:tc>
          <w:tcPr>
            <w:tcW w:type="dxa" w:w="1080"/>
          </w:tcPr>
          <w:p>
            <w:r>
              <w:rPr>
                <w:rFonts w:ascii="Calibri" w:hAnsi="Calibri"/>
                <w:sz w:val="22"/>
              </w:rPr>
              <w:t>$12.10B</w:t>
            </w:r>
          </w:p>
        </w:tc>
        <w:tc>
          <w:tcPr>
            <w:tcW w:type="dxa" w:w="1080"/>
          </w:tcPr>
          <w:p>
            <w:r>
              <w:rPr>
                <w:rFonts w:ascii="Calibri" w:hAnsi="Calibri"/>
                <w:sz w:val="22"/>
              </w:rPr>
              <w:t>$12.09B</w:t>
            </w:r>
          </w:p>
        </w:tc>
        <w:tc>
          <w:tcPr>
            <w:tcW w:type="dxa" w:w="1080"/>
          </w:tcPr>
          <w:p>
            <w:r>
              <w:rPr>
                <w:rFonts w:ascii="Calibri" w:hAnsi="Calibri"/>
                <w:sz w:val="22"/>
              </w:rPr>
              <w:t>-0.1%</w:t>
            </w:r>
          </w:p>
        </w:tc>
        <w:tc>
          <w:tcPr>
            <w:tcW w:type="dxa" w:w="1080"/>
          </w:tcPr>
          <w:p>
            <w:r>
              <w:rPr>
                <w:rFonts w:ascii="Calibri" w:hAnsi="Calibri"/>
                <w:sz w:val="22"/>
              </w:rPr>
              <w:t>3%–4% FY growth; Q2 improvement expected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Operating EBITDA — FY 2026</w:t>
            </w:r>
          </w:p>
        </w:tc>
        <w:tc>
          <w:tcPr>
            <w:tcW w:type="dxa" w:w="1080"/>
          </w:tcPr>
          <w:p>
            <w:r>
              <w:rPr>
                <w:rFonts w:ascii="Calibri" w:hAnsi="Calibri"/>
                <w:sz w:val="22"/>
              </w:rPr>
              <w:t>$48.03B</w:t>
            </w:r>
          </w:p>
        </w:tc>
        <w:tc>
          <w:tcPr>
            <w:tcW w:type="dxa" w:w="1080"/>
          </w:tcPr>
          <w:p>
            <w:r>
              <w:rPr>
                <w:rFonts w:ascii="Calibri" w:hAnsi="Calibri"/>
                <w:sz w:val="22"/>
              </w:rPr>
              <w:t>$47.99B</w:t>
            </w:r>
          </w:p>
        </w:tc>
        <w:tc>
          <w:tcPr>
            <w:tcW w:type="dxa" w:w="1080"/>
          </w:tcPr>
          <w:p>
            <w:r>
              <w:rPr>
                <w:rFonts w:ascii="Calibri" w:hAnsi="Calibri"/>
                <w:sz w:val="22"/>
              </w:rPr>
              <w:t>-0.1%</w:t>
            </w:r>
          </w:p>
        </w:tc>
        <w:tc>
          <w:tcPr>
            <w:tcW w:type="dxa" w:w="1080"/>
          </w:tcPr>
          <w:p>
            <w:r>
              <w:rPr>
                <w:rFonts w:ascii="Calibri" w:hAnsi="Calibri"/>
                <w:sz w:val="22"/>
              </w:rPr>
              <w:t>3%–4%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Diluted Operating EPS — Q2 2026</w:t>
            </w:r>
          </w:p>
        </w:tc>
        <w:tc>
          <w:tcPr>
            <w:tcW w:type="dxa" w:w="1080"/>
          </w:tcPr>
          <w:p>
            <w:r>
              <w:rPr>
                <w:rFonts w:ascii="Calibri" w:hAnsi="Calibri"/>
                <w:sz w:val="22"/>
              </w:rPr>
              <w:t>$0.586</w:t>
            </w:r>
          </w:p>
        </w:tc>
        <w:tc>
          <w:tcPr>
            <w:tcW w:type="dxa" w:w="1080"/>
          </w:tcPr>
          <w:p>
            <w:r>
              <w:rPr>
                <w:rFonts w:ascii="Calibri" w:hAnsi="Calibri"/>
                <w:sz w:val="22"/>
              </w:rPr>
              <w:t>$0.586</w:t>
            </w:r>
          </w:p>
        </w:tc>
        <w:tc>
          <w:tcPr>
            <w:tcW w:type="dxa" w:w="1080"/>
          </w:tcPr>
          <w:p>
            <w:r>
              <w:rPr>
                <w:rFonts w:ascii="Calibri" w:hAnsi="Calibri"/>
                <w:sz w:val="22"/>
              </w:rPr>
              <w:t>0.0%</w:t>
            </w:r>
          </w:p>
        </w:tc>
        <w:tc>
          <w:tcPr>
            <w:tcW w:type="dxa" w:w="1080"/>
          </w:tcPr>
          <w:p>
            <w:r>
              <w:rPr>
                <w:rFonts w:ascii="Calibri" w:hAnsi="Calibri"/>
                <w:sz w:val="22"/>
              </w:rPr>
              <w:t>$2.25–$2.35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Diluted Operating EPS — FY 2026</w:t>
            </w:r>
          </w:p>
        </w:tc>
        <w:tc>
          <w:tcPr>
            <w:tcW w:type="dxa" w:w="1080"/>
          </w:tcPr>
          <w:p>
            <w:r>
              <w:rPr>
                <w:rFonts w:ascii="Calibri" w:hAnsi="Calibri"/>
                <w:sz w:val="22"/>
              </w:rPr>
              <w:t>$2.322</w:t>
            </w:r>
          </w:p>
        </w:tc>
        <w:tc>
          <w:tcPr>
            <w:tcW w:type="dxa" w:w="1080"/>
          </w:tcPr>
          <w:p>
            <w:r>
              <w:rPr>
                <w:rFonts w:ascii="Calibri" w:hAnsi="Calibri"/>
                <w:sz w:val="22"/>
              </w:rPr>
              <w:t>$2.322</w:t>
            </w:r>
          </w:p>
        </w:tc>
        <w:tc>
          <w:tcPr>
            <w:tcW w:type="dxa" w:w="1080"/>
          </w:tcPr>
          <w:p>
            <w:r>
              <w:rPr>
                <w:rFonts w:ascii="Calibri" w:hAnsi="Calibri"/>
                <w:sz w:val="22"/>
              </w:rPr>
              <w:t>0.0%</w:t>
            </w:r>
          </w:p>
        </w:tc>
        <w:tc>
          <w:tcPr>
            <w:tcW w:type="dxa" w:w="1080"/>
          </w:tcPr>
          <w:p>
            <w:r>
              <w:rPr>
                <w:rFonts w:ascii="Calibri" w:hAnsi="Calibri"/>
                <w:sz w:val="22"/>
              </w:rPr>
              <w:t>$2.25–$2.35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Free Cash Flow — Q2 2026</w:t>
            </w:r>
          </w:p>
        </w:tc>
        <w:tc>
          <w:tcPr>
            <w:tcW w:type="dxa" w:w="1080"/>
          </w:tcPr>
          <w:p>
            <w:r>
              <w:rPr>
                <w:rFonts w:ascii="Calibri" w:hAnsi="Calibri"/>
                <w:sz w:val="22"/>
              </w:rPr>
              <w:t>$4.39B</w:t>
            </w:r>
          </w:p>
        </w:tc>
        <w:tc>
          <w:tcPr>
            <w:tcW w:type="dxa" w:w="1080"/>
          </w:tcPr>
          <w:p>
            <w:r>
              <w:rPr>
                <w:rFonts w:ascii="Calibri" w:hAnsi="Calibri"/>
                <w:sz w:val="22"/>
              </w:rPr>
              <w:t>$4.43B</w:t>
            </w:r>
          </w:p>
        </w:tc>
        <w:tc>
          <w:tcPr>
            <w:tcW w:type="dxa" w:w="1080"/>
          </w:tcPr>
          <w:p>
            <w:r>
              <w:rPr>
                <w:rFonts w:ascii="Calibri" w:hAnsi="Calibri"/>
                <w:sz w:val="22"/>
              </w:rPr>
              <w:t>+0.9%</w:t>
            </w:r>
          </w:p>
        </w:tc>
        <w:tc>
          <w:tcPr>
            <w:tcW w:type="dxa" w:w="1080"/>
          </w:tcPr>
          <w:p>
            <w:r>
              <w:rPr>
                <w:rFonts w:ascii="Calibri" w:hAnsi="Calibri"/>
                <w:sz w:val="22"/>
              </w:rPr>
              <w:t>$4.0B–$4.5B Q2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Free Cash Flow — FY 2026</w:t>
            </w:r>
          </w:p>
        </w:tc>
        <w:tc>
          <w:tcPr>
            <w:tcW w:type="dxa" w:w="1080"/>
          </w:tcPr>
          <w:p>
            <w:r>
              <w:rPr>
                <w:rFonts w:ascii="Calibri" w:hAnsi="Calibri"/>
                <w:sz w:val="22"/>
              </w:rPr>
              <w:t>$18.19B</w:t>
            </w:r>
          </w:p>
        </w:tc>
        <w:tc>
          <w:tcPr>
            <w:tcW w:type="dxa" w:w="1080"/>
          </w:tcPr>
          <w:p>
            <w:r>
              <w:rPr>
                <w:rFonts w:ascii="Calibri" w:hAnsi="Calibri"/>
                <w:sz w:val="22"/>
              </w:rPr>
              <w:t>$18.24B</w:t>
            </w:r>
          </w:p>
        </w:tc>
        <w:tc>
          <w:tcPr>
            <w:tcW w:type="dxa" w:w="1080"/>
          </w:tcPr>
          <w:p>
            <w:r>
              <w:rPr>
                <w:rFonts w:ascii="Calibri" w:hAnsi="Calibri"/>
                <w:sz w:val="22"/>
              </w:rPr>
              <w:t>+0.3%</w:t>
            </w:r>
          </w:p>
        </w:tc>
        <w:tc>
          <w:tcPr>
            <w:tcW w:type="dxa" w:w="1080"/>
          </w:tcPr>
          <w:p>
            <w:r>
              <w:rPr>
                <w:rFonts w:ascii="Calibri" w:hAnsi="Calibri"/>
                <w:sz w:val="22"/>
              </w:rPr>
              <w:t>$18B+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floor</w:t>
            </w:r>
          </w:p>
        </w:tc>
      </w:tr>
    </w:tbl>
    <w:p>
      <w:r>
        <w:rPr>
          <w:rFonts w:ascii="Calibri" w:hAnsi="Calibri"/>
          <w:color w:val="525866"/>
          <w:sz w:val="22"/>
        </w:rPr>
        <w:t>The near-zero estimate revision since Q1 earnings reflects a market in "wait and see" mode. Estimates are tracking guidance almost exactly, leaving little room for a positive surprise unless AT&amp;T raises guidance or delivers a meaningful beat on subscriber metrics.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 has significantly underperformed since Q1 earnings — </w:t>
      </w:r>
      <w:r>
        <w:rPr>
          <w:rFonts w:ascii="Calibri" w:hAnsi="Calibri"/>
          <w:b/>
          <w:color w:val="E5484D"/>
          <w:sz w:val="22"/>
        </w:rPr>
        <w:t>down ~14.3% vs. the S&amp;P 500 (+5.2%) and XLC (-6.7%)</w:t>
      </w:r>
      <w:r>
        <w:rPr>
          <w:rFonts w:ascii="Calibri" w:hAnsi="Calibri"/>
          <w:color w:val="525866"/>
          <w:sz w:val="22"/>
        </w:rPr>
        <w:t xml:space="preserve"> — driven almost entirely by multiple compression and sentiment deterioration, not estimate cuts. The stock's sharp June selloff coincided with the CFO transition announcement and broader sector weakness, and the partial recovery in July suggests some stabilization ahead of earnings.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 vs. VZ, TMUS, XLC &amp; S&amp;P 500 — Indexed to 100 at Q1 2026 Earnings (Apr 22, 2026). Source: Stock Price Data.</w:t>
      </w:r>
    </w:p>
    <w:p>
      <w:pPr>
        <w:pStyle w:val="Heading3"/>
      </w:pPr>
      <w:r>
        <w:rPr>
          <w:rFonts w:ascii="Calibri" w:hAnsi="Calibri"/>
          <w:b/>
          <w:color w:val="3B4259"/>
          <w:sz w:val="24"/>
        </w:rPr>
        <w:t>Performance Summary (as of July 21, 2026, indexed to 100 at Apr 22, 2026)</w:t>
      </w:r>
    </w:p>
    <w:tbl>
      <w:tblPr>
        <w:tblStyle w:val="TableGrid"/>
        <w:tblW w:type="auto" w:w="0"/>
        <w:tblLook w:firstColumn="1" w:firstRow="1" w:lastColumn="0" w:lastRow="0" w:noHBand="0" w:noVBand="1" w:val="04A0"/>
      </w:tblPr>
      <w:tblGrid>
        <w:gridCol w:w="2880"/>
        <w:gridCol w:w="2880"/>
        <w:gridCol w:w="2880"/>
      </w:tblGrid>
      <w:tr>
        <w:tc>
          <w:tcPr>
            <w:tcW w:type="dxa" w:w="2880"/>
          </w:tcPr>
          <w:p>
            <w:r>
              <w:rPr>
                <w:rFonts w:ascii="Calibri" w:hAnsi="Calibri"/>
                <w:b/>
                <w:sz w:val="22"/>
              </w:rPr>
              <w:t>Security</w:t>
            </w:r>
          </w:p>
        </w:tc>
        <w:tc>
          <w:tcPr>
            <w:tcW w:type="dxa" w:w="2880"/>
          </w:tcPr>
          <w:p>
            <w:r>
              <w:rPr>
                <w:rFonts w:ascii="Calibri" w:hAnsi="Calibri"/>
                <w:b/>
                <w:sz w:val="22"/>
              </w:rPr>
              <w:t>Indexed Value</w:t>
            </w:r>
          </w:p>
        </w:tc>
        <w:tc>
          <w:tcPr>
            <w:tcW w:type="dxa" w:w="2880"/>
          </w:tcPr>
          <w:p>
            <w:r>
              <w:rPr>
                <w:rFonts w:ascii="Calibri" w:hAnsi="Calibri"/>
                <w:b/>
                <w:sz w:val="22"/>
              </w:rPr>
              <w:t>Return Since Q1 Earnings</w:t>
            </w:r>
          </w:p>
        </w:tc>
      </w:tr>
      <w:tr>
        <w:tc>
          <w:tcPr>
            <w:tcW w:type="dxa" w:w="2880"/>
          </w:tcPr>
          <w:p>
            <w:r>
              <w:rPr>
                <w:rFonts w:ascii="Calibri" w:hAnsi="Calibri"/>
                <w:sz w:val="22"/>
              </w:rPr>
              <w:t>T (AT&amp;T)</w:t>
            </w:r>
          </w:p>
        </w:tc>
        <w:tc>
          <w:tcPr>
            <w:tcW w:type="dxa" w:w="2880"/>
          </w:tcPr>
          <w:p>
            <w:r>
              <w:rPr>
                <w:rFonts w:ascii="Calibri" w:hAnsi="Calibri"/>
                <w:sz w:val="22"/>
              </w:rPr>
              <w:t>85.7</w:t>
            </w:r>
          </w:p>
        </w:tc>
        <w:tc>
          <w:tcPr>
            <w:tcW w:type="dxa" w:w="2880"/>
          </w:tcPr>
          <w:p>
            <w:r>
              <w:rPr>
                <w:rFonts w:ascii="Calibri" w:hAnsi="Calibri"/>
                <w:b/>
                <w:color w:val="E5484D"/>
                <w:sz w:val="22"/>
              </w:rPr>
              <w:t>-14.3%</w:t>
            </w:r>
          </w:p>
        </w:tc>
      </w:tr>
      <w:tr>
        <w:tc>
          <w:tcPr>
            <w:tcW w:type="dxa" w:w="2880"/>
          </w:tcPr>
          <w:p>
            <w:r>
              <w:rPr>
                <w:rFonts w:ascii="Calibri" w:hAnsi="Calibri"/>
                <w:sz w:val="22"/>
              </w:rPr>
              <w:t>VZ (Verizon)</w:t>
            </w:r>
          </w:p>
        </w:tc>
        <w:tc>
          <w:tcPr>
            <w:tcW w:type="dxa" w:w="2880"/>
          </w:tcPr>
          <w:p>
            <w:r>
              <w:rPr>
                <w:rFonts w:ascii="Calibri" w:hAnsi="Calibri"/>
                <w:sz w:val="22"/>
              </w:rPr>
              <w:t>95.2</w:t>
            </w:r>
          </w:p>
        </w:tc>
        <w:tc>
          <w:tcPr>
            <w:tcW w:type="dxa" w:w="2880"/>
          </w:tcPr>
          <w:p>
            <w:r>
              <w:rPr>
                <w:rFonts w:ascii="Calibri" w:hAnsi="Calibri"/>
                <w:sz w:val="22"/>
              </w:rPr>
              <w:t>-4.8%</w:t>
            </w:r>
          </w:p>
        </w:tc>
      </w:tr>
      <w:tr>
        <w:tc>
          <w:tcPr>
            <w:tcW w:type="dxa" w:w="2880"/>
          </w:tcPr>
          <w:p>
            <w:r>
              <w:rPr>
                <w:rFonts w:ascii="Calibri" w:hAnsi="Calibri"/>
                <w:sz w:val="22"/>
              </w:rPr>
              <w:t>TMUS (T-Mobile)</w:t>
            </w:r>
          </w:p>
        </w:tc>
        <w:tc>
          <w:tcPr>
            <w:tcW w:type="dxa" w:w="2880"/>
          </w:tcPr>
          <w:p>
            <w:r>
              <w:rPr>
                <w:rFonts w:ascii="Calibri" w:hAnsi="Calibri"/>
                <w:sz w:val="22"/>
              </w:rPr>
              <w:t>101.0</w:t>
            </w:r>
          </w:p>
        </w:tc>
        <w:tc>
          <w:tcPr>
            <w:tcW w:type="dxa" w:w="2880"/>
          </w:tcPr>
          <w:p>
            <w:r>
              <w:rPr>
                <w:rFonts w:ascii="Calibri" w:hAnsi="Calibri"/>
                <w:b/>
                <w:color w:val="30A46C"/>
                <w:sz w:val="22"/>
              </w:rPr>
              <w:t>+1.0%</w:t>
            </w:r>
          </w:p>
        </w:tc>
      </w:tr>
      <w:tr>
        <w:tc>
          <w:tcPr>
            <w:tcW w:type="dxa" w:w="2880"/>
          </w:tcPr>
          <w:p>
            <w:r>
              <w:rPr>
                <w:rFonts w:ascii="Calibri" w:hAnsi="Calibri"/>
                <w:sz w:val="22"/>
              </w:rPr>
              <w:t>XLC (Comm. Services ETF)</w:t>
            </w:r>
          </w:p>
        </w:tc>
        <w:tc>
          <w:tcPr>
            <w:tcW w:type="dxa" w:w="2880"/>
          </w:tcPr>
          <w:p>
            <w:r>
              <w:rPr>
                <w:rFonts w:ascii="Calibri" w:hAnsi="Calibri"/>
                <w:sz w:val="22"/>
              </w:rPr>
              <w:t>93.3</w:t>
            </w:r>
          </w:p>
        </w:tc>
        <w:tc>
          <w:tcPr>
            <w:tcW w:type="dxa" w:w="2880"/>
          </w:tcPr>
          <w:p>
            <w:r>
              <w:rPr>
                <w:rFonts w:ascii="Calibri" w:hAnsi="Calibri"/>
                <w:sz w:val="22"/>
              </w:rPr>
              <w:t>-6.7%</w:t>
            </w:r>
          </w:p>
        </w:tc>
      </w:tr>
      <w:tr>
        <w:tc>
          <w:tcPr>
            <w:tcW w:type="dxa" w:w="2880"/>
          </w:tcPr>
          <w:p>
            <w:r>
              <w:rPr>
                <w:rFonts w:ascii="Calibri" w:hAnsi="Calibri"/>
                <w:sz w:val="22"/>
              </w:rPr>
              <w:t>SPY (S&amp;P 500)</w:t>
            </w:r>
          </w:p>
        </w:tc>
        <w:tc>
          <w:tcPr>
            <w:tcW w:type="dxa" w:w="2880"/>
          </w:tcPr>
          <w:p>
            <w:r>
              <w:rPr>
                <w:rFonts w:ascii="Calibri" w:hAnsi="Calibri"/>
                <w:sz w:val="22"/>
              </w:rPr>
              <w:t>105.2</w:t>
            </w:r>
          </w:p>
        </w:tc>
        <w:tc>
          <w:tcPr>
            <w:tcW w:type="dxa" w:w="2880"/>
          </w:tcPr>
          <w:p>
            <w:r>
              <w:rPr>
                <w:rFonts w:ascii="Calibri" w:hAnsi="Calibri"/>
                <w:b/>
                <w:color w:val="30A46C"/>
                <w:sz w:val="22"/>
              </w:rPr>
              <w:t>+5.2%</w:t>
            </w:r>
          </w:p>
        </w:tc>
      </w:tr>
    </w:tbl>
    <w:p>
      <w:r>
        <w:rPr>
          <w:rFonts w:ascii="Calibri" w:hAnsi="Calibri"/>
          <w:color w:val="525866"/>
          <w:sz w:val="22"/>
        </w:rPr>
        <w:t xml:space="preserve">T has been the worst performer in the telecom peer group since Q1 earnings. The stock peaked near 101 in the first week post-earnings, then sold off steadily through May and June, hitting a trough near 79 in late June/early July before recovering to ~86. The June selloff accelerated around the </w:t>
      </w:r>
      <w:r>
        <w:rPr>
          <w:rFonts w:ascii="Calibri" w:hAnsi="Calibri"/>
          <w:b/>
          <w:color w:val="525866"/>
          <w:sz w:val="22"/>
        </w:rPr>
        <w:t>CFO transition announcement (June 16)</w:t>
      </w:r>
      <w:r>
        <w:rPr>
          <w:rFonts w:ascii="Calibri" w:hAnsi="Calibri"/>
          <w:color w:val="525866"/>
          <w:sz w:val="22"/>
        </w:rPr>
        <w:t xml:space="preserve">. VZ has also underperformed the market but held up better than T. TMUS has been essentially flat, consistent with its stronger subscriber momentum narrative. The XLC sector ETF is down ~6.7%, suggesting sector-level headwinds, but T's underperformance is company-specific. Sector ETF used: </w:t>
      </w:r>
      <w:r>
        <w:rPr>
          <w:rFonts w:ascii="Calibri" w:hAnsi="Calibri"/>
          <w:b/>
          <w:color w:val="525866"/>
          <w:sz w:val="22"/>
        </w:rPr>
        <w:t>XLC (Communication Services Select Sector ETF)</w:t>
      </w:r>
      <w:r>
        <w:rPr>
          <w:rFonts w:ascii="Calibri" w:hAnsi="Calibri"/>
          <w:color w:val="525866"/>
          <w:sz w:val="22"/>
        </w:rPr>
        <w:t xml:space="preserve"> — appropriate for AT&amp;T's integrated telecom/connectivity sub-sector. Source: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post-earnings development is the </w:t>
      </w:r>
      <w:r>
        <w:rPr>
          <w:rFonts w:ascii="Calibri" w:hAnsi="Calibri"/>
          <w:b/>
          <w:color w:val="525866"/>
          <w:sz w:val="22"/>
        </w:rPr>
        <w:t>CFO transition (Pascal Desroches retiring, Jennifer Biry named successor)</w:t>
      </w:r>
      <w:r>
        <w:rPr>
          <w:rFonts w:ascii="Calibri" w:hAnsi="Calibri"/>
          <w:color w:val="525866"/>
          <w:sz w:val="22"/>
        </w:rPr>
        <w:t>, which introduces near-term uncertainty around guidance communication; the $6B debt offering and conference appearances were consistent with the existing financial plan.</w:t>
      </w:r>
    </w:p>
    <w:p>
      <w:pPr>
        <w:pStyle w:val="ListBullet"/>
        <w:ind w:left="360" w:hanging="360"/>
      </w:pPr>
      <w:r>
        <w:rPr>
          <w:rFonts w:ascii="Calibri" w:hAnsi="Calibri"/>
          <w:b/>
          <w:color w:val="525866"/>
          <w:sz w:val="22"/>
        </w:rPr>
        <w:t>June 16, 2026 — CFO Transition Announced (8-K):</w:t>
      </w:r>
      <w:r>
        <w:rPr>
          <w:rFonts w:ascii="Calibri" w:hAnsi="Calibri"/>
          <w:color w:val="525866"/>
          <w:sz w:val="22"/>
        </w:rPr>
        <w:t xml:space="preserve"> Pascal Desroches announced retirement effective Dec 31, 2026; Jennifer Biry (former WarnerMedia CFO and McAfee CFO/COO) named Deputy CFO effective Jul 6, 2026, and will assume the CFO role Jan 1, 2027. Desroches will remain through year-end, providing overlap. </w:t>
      </w:r>
      <w:r>
        <w:rPr>
          <w:rFonts w:ascii="Calibri" w:hAnsi="Calibri"/>
          <w:i/>
          <w:color w:val="525866"/>
          <w:sz w:val="22"/>
        </w:rPr>
        <w:t>Implication:</w:t>
      </w:r>
      <w:r>
        <w:rPr>
          <w:rFonts w:ascii="Calibri" w:hAnsi="Calibri"/>
          <w:color w:val="525866"/>
          <w:sz w:val="22"/>
        </w:rPr>
        <w:t xml:space="preserve"> Biry is an AT&amp;T veteran with deep institutional knowledge, reducing transition risk; however, any change in tone or guidance framing on the Q2 call could amplify market reaction in either direction.</w:t>
      </w:r>
    </w:p>
    <w:p>
      <w:pPr>
        <w:pStyle w:val="ListBullet"/>
        <w:ind w:left="360" w:hanging="360"/>
      </w:pPr>
      <w:r>
        <w:rPr>
          <w:rFonts w:ascii="Calibri" w:hAnsi="Calibri"/>
          <w:b/>
          <w:color w:val="525866"/>
          <w:sz w:val="22"/>
        </w:rPr>
        <w:t>June 9, 2026 — Mizuho Technology Conference (CFO Desroches):</w:t>
      </w:r>
      <w:r>
        <w:rPr>
          <w:rFonts w:ascii="Calibri" w:hAnsi="Calibri"/>
          <w:color w:val="525866"/>
          <w:sz w:val="22"/>
        </w:rPr>
        <w:t xml:space="preserve"> Desroches presented at Mizuho Technology Conference. No material guidance changes were disclosed. </w:t>
      </w:r>
      <w:r>
        <w:rPr>
          <w:rFonts w:ascii="Calibri" w:hAnsi="Calibri"/>
          <w:i/>
          <w:color w:val="525866"/>
          <w:sz w:val="22"/>
        </w:rPr>
        <w:t>Implication:</w:t>
      </w:r>
      <w:r>
        <w:rPr>
          <w:rFonts w:ascii="Calibri" w:hAnsi="Calibri"/>
          <w:color w:val="525866"/>
          <w:sz w:val="22"/>
        </w:rPr>
        <w:t xml:space="preserve"> Consistent with management's practice of reiterating guidance at conferences; no pre-announcement signal.</w:t>
      </w:r>
    </w:p>
    <w:p>
      <w:pPr>
        <w:pStyle w:val="ListBullet"/>
        <w:ind w:left="360" w:hanging="360"/>
      </w:pPr>
      <w:r>
        <w:rPr>
          <w:rFonts w:ascii="Calibri" w:hAnsi="Calibri"/>
          <w:b/>
          <w:color w:val="525866"/>
          <w:sz w:val="22"/>
        </w:rPr>
        <w:t>May 19, 2026 — J.P. Morgan Global TMC Conference (CEO Stankey):</w:t>
      </w:r>
      <w:r>
        <w:rPr>
          <w:rFonts w:ascii="Calibri" w:hAnsi="Calibri"/>
          <w:color w:val="525866"/>
          <w:sz w:val="22"/>
        </w:rPr>
        <w:t xml:space="preserve"> CEO John Stankey presented at J.P. Morgan Global Technology, Media and Communications Conference. No material guidance changes disclosed. </w:t>
      </w:r>
      <w:r>
        <w:rPr>
          <w:rFonts w:ascii="Calibri" w:hAnsi="Calibri"/>
          <w:i/>
          <w:color w:val="525866"/>
          <w:sz w:val="22"/>
        </w:rPr>
        <w:t>Implication:</w:t>
      </w:r>
      <w:r>
        <w:rPr>
          <w:rFonts w:ascii="Calibri" w:hAnsi="Calibri"/>
          <w:color w:val="525866"/>
          <w:sz w:val="22"/>
        </w:rPr>
        <w:t xml:space="preserve"> Management tone remained confident; no incremental negative signals.</w:t>
      </w:r>
    </w:p>
    <w:p>
      <w:pPr>
        <w:pStyle w:val="ListBullet"/>
        <w:ind w:left="360" w:hanging="360"/>
      </w:pPr>
      <w:r>
        <w:rPr>
          <w:rFonts w:ascii="Calibri" w:hAnsi="Calibri"/>
          <w:b/>
          <w:color w:val="525866"/>
          <w:sz w:val="22"/>
        </w:rPr>
        <w:t>April 30, 2026 — $6 Billion Global Notes Offering (8-K):</w:t>
      </w:r>
      <w:r>
        <w:rPr>
          <w:rFonts w:ascii="Calibri" w:hAnsi="Calibri"/>
          <w:color w:val="525866"/>
          <w:sz w:val="22"/>
        </w:rPr>
        <w:t xml:space="preserve"> AT&amp;T completed a $6 billion global notes offering across five tranches. </w:t>
      </w:r>
      <w:r>
        <w:rPr>
          <w:rFonts w:ascii="Calibri" w:hAnsi="Calibri"/>
          <w:i/>
          <w:color w:val="525866"/>
          <w:sz w:val="22"/>
        </w:rPr>
        <w:t>Implication:</w:t>
      </w:r>
      <w:r>
        <w:rPr>
          <w:rFonts w:ascii="Calibri" w:hAnsi="Calibri"/>
          <w:color w:val="525866"/>
          <w:sz w:val="22"/>
        </w:rPr>
        <w:t xml:space="preserve"> Consistent with the company's capital plan to fund fiber buildout and manage debt maturity profile; no surprise to the market given the Lumen and EchoStar acquisition financing needs.</w:t>
      </w:r>
    </w:p>
    <w:p>
      <w:pPr>
        <w:pStyle w:val="ListBullet"/>
        <w:ind w:left="360" w:hanging="360"/>
      </w:pPr>
      <w:r>
        <w:rPr>
          <w:rFonts w:ascii="Calibri" w:hAnsi="Calibri"/>
          <w:b/>
          <w:color w:val="525866"/>
          <w:sz w:val="22"/>
        </w:rPr>
        <w:t>May 2026 — Three-Carrier D2D Satellite JV (T-Mobile, Verizon, AT&amp;T):</w:t>
      </w:r>
      <w:r>
        <w:rPr>
          <w:rFonts w:ascii="Calibri" w:hAnsi="Calibri"/>
          <w:color w:val="525866"/>
          <w:sz w:val="22"/>
        </w:rPr>
        <w:t xml:space="preserve"> AT&amp;T, T-Mobile, and Verizon announced a joint venture (agreement in principle) to pool spectrum and build shared ground station infrastructure for direct-to-device satellite connectivity. </w:t>
      </w:r>
      <w:r>
        <w:rPr>
          <w:rFonts w:ascii="Calibri" w:hAnsi="Calibri"/>
          <w:i/>
          <w:color w:val="525866"/>
          <w:sz w:val="22"/>
        </w:rPr>
        <w:t>Implication:</w:t>
      </w:r>
      <w:r>
        <w:rPr>
          <w:rFonts w:ascii="Calibri" w:hAnsi="Calibri"/>
          <w:color w:val="525866"/>
          <w:sz w:val="22"/>
        </w:rPr>
        <w:t xml:space="preserve"> Reduces fragmented satellite lobbying costs and positions AT&amp;T to offer seamless coverage without building redundant infrastructure; regulatory approval (likely DOJ second request) adds timing uncertainty.</w:t>
      </w:r>
    </w:p>
    <w:p>
      <w:pPr>
        <w:pStyle w:val="ListBullet"/>
        <w:ind w:left="360" w:hanging="360"/>
      </w:pPr>
      <w:r>
        <w:rPr>
          <w:rFonts w:ascii="Calibri" w:hAnsi="Calibri"/>
          <w:b/>
          <w:color w:val="525866"/>
          <w:sz w:val="22"/>
        </w:rPr>
        <w:t>Ongoing — EchoStar Transaction Pending:</w:t>
      </w:r>
      <w:r>
        <w:rPr>
          <w:rFonts w:ascii="Calibri" w:hAnsi="Calibri"/>
          <w:color w:val="525866"/>
          <w:sz w:val="22"/>
        </w:rPr>
        <w:t xml:space="preserve"> EchoStar acquisition remains pending; expected to temporarily increase net leverage to ~3.2x before declining to ~3.0x by year-end 2026. </w:t>
      </w:r>
      <w:r>
        <w:rPr>
          <w:rFonts w:ascii="Calibri" w:hAnsi="Calibri"/>
          <w:i/>
          <w:color w:val="525866"/>
          <w:sz w:val="22"/>
        </w:rPr>
        <w:t>Implication:</w:t>
      </w:r>
      <w:r>
        <w:rPr>
          <w:rFonts w:ascii="Calibri" w:hAnsi="Calibri"/>
          <w:color w:val="525866"/>
          <w:sz w:val="22"/>
        </w:rPr>
        <w:t xml:space="preserve"> Leverage trajectory is a key watch item; any update on EchoStar close timing would be material.</w:t>
      </w:r>
    </w:p>
    <w:p>
      <w:pPr>
        <w:pStyle w:val="ListBullet"/>
        <w:ind w:left="360" w:hanging="360"/>
      </w:pPr>
      <w:r>
        <w:rPr>
          <w:rFonts w:ascii="Calibri" w:hAnsi="Calibri"/>
          <w:b/>
          <w:color w:val="525866"/>
          <w:sz w:val="22"/>
        </w:rPr>
        <w:t>Ongoing — Lumen Integration:</w:t>
      </w:r>
      <w:r>
        <w:rPr>
          <w:rFonts w:ascii="Calibri" w:hAnsi="Calibri"/>
          <w:color w:val="525866"/>
          <w:sz w:val="22"/>
        </w:rPr>
        <w:t xml:space="preserve"> First markets fully converted to AT&amp;T brand and technology; sales volumes tracking in line with or better than expectations. Staffing ramp (not demand) is the current gating factor. </w:t>
      </w:r>
      <w:r>
        <w:rPr>
          <w:rFonts w:ascii="Calibri" w:hAnsi="Calibri"/>
          <w:i/>
          <w:color w:val="525866"/>
          <w:sz w:val="22"/>
        </w:rPr>
        <w:t>Implication:</w:t>
      </w:r>
      <w:r>
        <w:rPr>
          <w:rFonts w:ascii="Calibri" w:hAnsi="Calibri"/>
          <w:color w:val="525866"/>
          <w:sz w:val="22"/>
        </w:rPr>
        <w:t xml:space="preserve"> Execution risk remains but early signs are positive; Q2 will be the first full quarter with Lumen assets.</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AT&amp;T's Q2 setup — VZ and TMUS both flagged </w:t>
      </w:r>
      <w:r>
        <w:rPr>
          <w:rFonts w:ascii="Calibri" w:hAnsi="Calibri"/>
          <w:b/>
          <w:color w:val="525866"/>
          <w:sz w:val="22"/>
        </w:rPr>
        <w:t>moderating competitive intensity and improving churn trends</w:t>
      </w:r>
      <w:r>
        <w:rPr>
          <w:rFonts w:ascii="Calibri" w:hAnsi="Calibri"/>
          <w:color w:val="525866"/>
          <w:sz w:val="22"/>
        </w:rPr>
        <w:t>, which should benefit T as well; however, TMUS explicitly called out AT&amp;T's elevated churn as a competitive vulnerability, and Comcast's broadband ARPU pressure signals a tough pricing environment for converged offers.</w:t>
      </w:r>
    </w:p>
    <w:p>
      <w:r>
        <w:rPr>
          <w:rFonts w:ascii="Calibri" w:hAnsi="Calibri"/>
          <w:b/>
          <w:color w:val="525866"/>
          <w:sz w:val="22"/>
        </w:rPr>
        <w:t xml:space="preserve">Note: </w:t>
      </w:r>
      <w:r>
        <w:rPr>
          <w:rFonts w:ascii="Calibri" w:hAnsi="Calibri"/>
          <w:color w:val="525866"/>
          <w:sz w:val="22"/>
        </w:rPr>
        <w:t>All commentary below is sourced from Q1 2026 earnings calls (April 2026) and subsequent conference appearances (May–June 2026). Only forward-looking commentary about Q2 2026 or the current competitive environment is included; backward-looking Q1 results discussion is excluded.</w:t>
      </w:r>
    </w:p>
    <w:p>
      <w:pPr>
        <w:pStyle w:val="Heading3"/>
      </w:pPr>
      <w:r>
        <w:rPr>
          <w:rFonts w:ascii="Calibri" w:hAnsi="Calibri"/>
          <w:b/>
          <w:color w:val="3B4259"/>
          <w:sz w:val="24"/>
        </w:rPr>
        <w:t>T-Mobile (TMUS) — Competitive Dynamics &amp; Churn</w:t>
      </w:r>
    </w:p>
    <w:p>
      <w:r>
        <w:rPr>
          <w:rFonts w:ascii="Calibri" w:hAnsi="Calibri"/>
          <w:b/>
          <w:color w:val="525866"/>
          <w:sz w:val="22"/>
        </w:rPr>
        <w:t xml:space="preserve">Sources: </w:t>
      </w:r>
      <w:r>
        <w:rPr>
          <w:rFonts w:ascii="Calibri" w:hAnsi="Calibri"/>
          <w:color w:val="525866"/>
          <w:sz w:val="22"/>
        </w:rPr>
        <w:t>Q1 2026 Earnings Call (Apr 28, 2026); JP Morgan TMC Conference (May 18, 2026); Evercore TMT Conference (Jun 2, 2026)</w:t>
      </w:r>
    </w:p>
    <w:p>
      <w:pPr>
        <w:pStyle w:val="ListBullet"/>
        <w:ind w:left="360" w:hanging="360"/>
      </w:pPr>
      <w:r>
        <w:rPr>
          <w:rFonts w:ascii="Calibri" w:hAnsi="Calibri"/>
          <w:b/>
          <w:color w:val="525866"/>
          <w:sz w:val="22"/>
        </w:rPr>
        <w:t>Competitive intensity moderating:</w:t>
      </w:r>
      <w:r>
        <w:rPr>
          <w:rFonts w:ascii="Calibri" w:hAnsi="Calibri"/>
          <w:color w:val="525866"/>
          <w:sz w:val="22"/>
        </w:rPr>
        <w:t xml:space="preserve"> TMUS noted January was "particularly competitive and particularly heavy in one-dimensional competition based on subsidies" but observed "some cooling down of that environment" in February, March, and into April. At the Evercore conference (Jun 2), CFO Osvaldik confirmed Q2 is "going really well" and that CLVs "continued into Q2." </w:t>
      </w:r>
      <w:r>
        <w:rPr>
          <w:rFonts w:ascii="Calibri" w:hAnsi="Calibri"/>
          <w:i/>
          <w:color w:val="525866"/>
          <w:sz w:val="22"/>
        </w:rPr>
        <w:t>Read-through:</w:t>
      </w:r>
      <w:r>
        <w:rPr>
          <w:rFonts w:ascii="Calibri" w:hAnsi="Calibri"/>
          <w:color w:val="525866"/>
          <w:sz w:val="22"/>
        </w:rPr>
        <w:t xml:space="preserve"> A less promotional environment in Q2 reduces the risk of T losing subscribers to aggressive TMUS/VZ device offers.</w:t>
      </w:r>
    </w:p>
    <w:p>
      <w:pPr>
        <w:pStyle w:val="ListBullet"/>
        <w:ind w:left="360" w:hanging="360"/>
      </w:pPr>
      <w:r>
        <w:rPr>
          <w:rFonts w:ascii="Calibri" w:hAnsi="Calibri"/>
          <w:b/>
          <w:color w:val="E5484D"/>
          <w:sz w:val="22"/>
        </w:rPr>
        <w:t>AT&amp;T churn called out directly:</w:t>
      </w:r>
      <w:r>
        <w:rPr>
          <w:rFonts w:ascii="Calibri" w:hAnsi="Calibri"/>
          <w:color w:val="525866"/>
          <w:sz w:val="22"/>
        </w:rPr>
        <w:t xml:space="preserve"> TMUS CFO Osvaldik at Evercore (Jun 2) stated AT&amp;T "posted the largest year-over-year increase in postpaid phone churn of anybody in the industry" in Q1, framing it as evidence that AT&amp;T's convergence/fiber strategy is not yet translating to churn improvement. </w:t>
      </w:r>
      <w:r>
        <w:rPr>
          <w:rFonts w:ascii="Calibri" w:hAnsi="Calibri"/>
          <w:i/>
          <w:color w:val="525866"/>
          <w:sz w:val="22"/>
        </w:rPr>
        <w:t>Read-through:</w:t>
      </w:r>
      <w:r>
        <w:rPr>
          <w:rFonts w:ascii="Calibri" w:hAnsi="Calibri"/>
          <w:color w:val="525866"/>
          <w:sz w:val="22"/>
        </w:rPr>
        <w:t xml:space="preserve"> This is a direct negative signal for T's Q2 churn metric — the Street will be watching closely whether Q2 churn improves or deteriorates further.</w:t>
      </w:r>
    </w:p>
    <w:p>
      <w:pPr>
        <w:pStyle w:val="ListBullet"/>
        <w:ind w:left="360" w:hanging="360"/>
      </w:pPr>
      <w:r>
        <w:rPr>
          <w:rFonts w:ascii="Calibri" w:hAnsi="Calibri"/>
          <w:b/>
          <w:color w:val="525866"/>
          <w:sz w:val="22"/>
        </w:rPr>
        <w:t>TMUS Q2 ARPA growth ~2%:</w:t>
      </w:r>
      <w:r>
        <w:rPr>
          <w:rFonts w:ascii="Calibri" w:hAnsi="Calibri"/>
          <w:color w:val="525866"/>
          <w:sz w:val="22"/>
        </w:rPr>
        <w:t xml:space="preserve"> TMUS guided Q2 postpaid ARPA growth of ~2% (vs. 2.5%–3% FY), attributing the step-down to rate plan optimization lapping and acquisition dilution. </w:t>
      </w:r>
      <w:r>
        <w:rPr>
          <w:rFonts w:ascii="Calibri" w:hAnsi="Calibri"/>
          <w:i/>
          <w:color w:val="525866"/>
          <w:sz w:val="22"/>
        </w:rPr>
        <w:t>Read-through:</w:t>
      </w:r>
      <w:r>
        <w:rPr>
          <w:rFonts w:ascii="Calibri" w:hAnsi="Calibri"/>
          <w:color w:val="525866"/>
          <w:sz w:val="22"/>
        </w:rPr>
        <w:t xml:space="preserve"> Modest ARPA pressure is industry-wide in Q2, reducing the risk that T's relatively stable ARPU guidance looks out of step.</w:t>
      </w:r>
    </w:p>
    <w:p>
      <w:pPr>
        <w:pStyle w:val="ListBullet"/>
        <w:ind w:left="360" w:hanging="360"/>
      </w:pPr>
      <w:r>
        <w:rPr>
          <w:rFonts w:ascii="Calibri" w:hAnsi="Calibri"/>
          <w:b/>
          <w:color w:val="525866"/>
          <w:sz w:val="22"/>
        </w:rPr>
        <w:t>FWA accelerating:</w:t>
      </w:r>
      <w:r>
        <w:rPr>
          <w:rFonts w:ascii="Calibri" w:hAnsi="Calibri"/>
          <w:color w:val="525866"/>
          <w:sz w:val="22"/>
        </w:rPr>
        <w:t xml:space="preserve"> TMUS added 500K+ broadband net adds in Q1 with FWA reaccelerating YoY. </w:t>
      </w:r>
      <w:r>
        <w:rPr>
          <w:rFonts w:ascii="Calibri" w:hAnsi="Calibri"/>
          <w:i/>
          <w:color w:val="525866"/>
          <w:sz w:val="22"/>
        </w:rPr>
        <w:t>Read-through:</w:t>
      </w:r>
      <w:r>
        <w:rPr>
          <w:rFonts w:ascii="Calibri" w:hAnsi="Calibri"/>
          <w:color w:val="525866"/>
          <w:sz w:val="22"/>
        </w:rPr>
        <w:t xml:space="preserve"> TMUS's FWA strength is a competitive headwind for AT&amp;T's fiber broadband net adds, particularly in markets where AT&amp;T has not yet deployed fiber.</w:t>
      </w:r>
    </w:p>
    <w:p>
      <w:pPr>
        <w:pStyle w:val="Heading3"/>
      </w:pPr>
      <w:r>
        <w:rPr>
          <w:rFonts w:ascii="Calibri" w:hAnsi="Calibri"/>
          <w:b/>
          <w:color w:val="3B4259"/>
          <w:sz w:val="24"/>
        </w:rPr>
        <w:t>Verizon (VZ) — Churn Improvement &amp; Competitive Moderation</w:t>
      </w:r>
    </w:p>
    <w:p>
      <w:r>
        <w:rPr>
          <w:rFonts w:ascii="Calibri" w:hAnsi="Calibri"/>
          <w:b/>
          <w:color w:val="525866"/>
          <w:sz w:val="22"/>
        </w:rPr>
        <w:t xml:space="preserve">Sources: </w:t>
      </w:r>
      <w:r>
        <w:rPr>
          <w:rFonts w:ascii="Calibri" w:hAnsi="Calibri"/>
          <w:color w:val="525866"/>
          <w:sz w:val="22"/>
        </w:rPr>
        <w:t>Q1 2026 Earnings Call (Apr 27, 2026); JP Morgan TMC Conference (May 18, 2026); Moffett Nathanson Conference (May 13, 2026)</w:t>
      </w:r>
    </w:p>
    <w:p>
      <w:pPr>
        <w:pStyle w:val="ListBullet"/>
        <w:ind w:left="360" w:hanging="360"/>
      </w:pPr>
      <w:r>
        <w:rPr>
          <w:rFonts w:ascii="Calibri" w:hAnsi="Calibri"/>
          <w:b/>
          <w:color w:val="30A46C"/>
          <w:sz w:val="22"/>
        </w:rPr>
        <w:t>Churn improving sharply:</w:t>
      </w:r>
      <w:r>
        <w:rPr>
          <w:rFonts w:ascii="Calibri" w:hAnsi="Calibri"/>
          <w:color w:val="525866"/>
          <w:sz w:val="22"/>
        </w:rPr>
        <w:t xml:space="preserve"> VZ reported consumer postpaid phone churn of 90 bps in Q1, improving to below 85 bps in March. CEO Schulman at JP Morgan (May 18) confirmed he "fully expects us to continue to reduce churn" and that "at least half of net add improvement will come from churn improvements." </w:t>
      </w:r>
      <w:r>
        <w:rPr>
          <w:rFonts w:ascii="Calibri" w:hAnsi="Calibri"/>
          <w:i/>
          <w:color w:val="525866"/>
          <w:sz w:val="22"/>
        </w:rPr>
        <w:t>Read-through:</w:t>
      </w:r>
      <w:r>
        <w:rPr>
          <w:rFonts w:ascii="Calibri" w:hAnsi="Calibri"/>
          <w:color w:val="525866"/>
          <w:sz w:val="22"/>
        </w:rPr>
        <w:t xml:space="preserve"> VZ's churn improvement validates that the industry is moving toward a more rational competitive environment (positive for T), but also means VZ is retaining more customers that might otherwise have switched to AT&amp;T (negative).</w:t>
      </w:r>
    </w:p>
    <w:p>
      <w:pPr>
        <w:pStyle w:val="ListBullet"/>
        <w:ind w:left="360" w:hanging="360"/>
      </w:pPr>
      <w:r>
        <w:rPr>
          <w:rFonts w:ascii="Calibri" w:hAnsi="Calibri"/>
          <w:b/>
          <w:color w:val="525866"/>
          <w:sz w:val="22"/>
        </w:rPr>
        <w:t>Competitive intensity moderating:</w:t>
      </w:r>
      <w:r>
        <w:rPr>
          <w:rFonts w:ascii="Calibri" w:hAnsi="Calibri"/>
          <w:color w:val="525866"/>
          <w:sz w:val="22"/>
        </w:rPr>
        <w:t xml:space="preserve"> VZ stated "the competitive intensity in the industry is moderating" and that the industry is shifting toward "a more segmented and fiscally responsible approach to acquisition and retention." VZ is "no longer giving away lines for free." </w:t>
      </w:r>
      <w:r>
        <w:rPr>
          <w:rFonts w:ascii="Calibri" w:hAnsi="Calibri"/>
          <w:i/>
          <w:color w:val="525866"/>
          <w:sz w:val="22"/>
        </w:rPr>
        <w:t>Read-through:</w:t>
      </w:r>
      <w:r>
        <w:rPr>
          <w:rFonts w:ascii="Calibri" w:hAnsi="Calibri"/>
          <w:color w:val="525866"/>
          <w:sz w:val="22"/>
        </w:rPr>
        <w:t xml:space="preserve"> A less promotional VZ is constructive for T's ability to compete on value rather than device subsidies — aligns with AT&amp;T's OneConnect strategy.</w:t>
      </w:r>
    </w:p>
    <w:p>
      <w:pPr>
        <w:pStyle w:val="ListBullet"/>
        <w:ind w:left="360" w:hanging="360"/>
      </w:pPr>
      <w:r>
        <w:rPr>
          <w:rFonts w:ascii="Calibri" w:hAnsi="Calibri"/>
          <w:b/>
          <w:color w:val="525866"/>
          <w:sz w:val="22"/>
        </w:rPr>
        <w:t>Promo amortization headwind turning tailwind in Q3:</w:t>
      </w:r>
      <w:r>
        <w:rPr>
          <w:rFonts w:ascii="Calibri" w:hAnsi="Calibri"/>
          <w:color w:val="525866"/>
          <w:sz w:val="22"/>
        </w:rPr>
        <w:t xml:space="preserve"> VZ flagged ~190 bps of promo amortization headwind expected to turn to a tailwind "as soon as Q3." </w:t>
      </w:r>
      <w:r>
        <w:rPr>
          <w:rFonts w:ascii="Calibri" w:hAnsi="Calibri"/>
          <w:i/>
          <w:color w:val="525866"/>
          <w:sz w:val="22"/>
        </w:rPr>
        <w:t>Read-through:</w:t>
      </w:r>
      <w:r>
        <w:rPr>
          <w:rFonts w:ascii="Calibri" w:hAnsi="Calibri"/>
          <w:color w:val="525866"/>
          <w:sz w:val="22"/>
        </w:rPr>
        <w:t xml:space="preserve"> This is a Q3 catalyst for VZ, not Q2 — but signals that the industry's promotional cycle is peaking, which is constructive for T's Q2 ARPU stability.</w:t>
      </w:r>
    </w:p>
    <w:p>
      <w:pPr>
        <w:pStyle w:val="ListBullet"/>
        <w:ind w:left="360" w:hanging="360"/>
      </w:pPr>
      <w:r>
        <w:rPr>
          <w:rFonts w:ascii="Calibri" w:hAnsi="Calibri"/>
          <w:b/>
          <w:color w:val="525866"/>
          <w:sz w:val="22"/>
        </w:rPr>
        <w:t>Q1 was the low point for VZ service revenue:</w:t>
      </w:r>
      <w:r>
        <w:rPr>
          <w:rFonts w:ascii="Calibri" w:hAnsi="Calibri"/>
          <w:color w:val="525866"/>
          <w:sz w:val="22"/>
        </w:rPr>
        <w:t xml:space="preserve"> VZ stated "Q1 mobility and broadband service revenues will be the low point of 2026" with high confidence in 2%–3% FY growth. </w:t>
      </w:r>
      <w:r>
        <w:rPr>
          <w:rFonts w:ascii="Calibri" w:hAnsi="Calibri"/>
          <w:i/>
          <w:color w:val="525866"/>
          <w:sz w:val="22"/>
        </w:rPr>
        <w:t>Read-through:</w:t>
      </w:r>
      <w:r>
        <w:rPr>
          <w:rFonts w:ascii="Calibri" w:hAnsi="Calibri"/>
          <w:color w:val="525866"/>
          <w:sz w:val="22"/>
        </w:rPr>
        <w:t xml:space="preserve"> If Q1 was the industry trough, Q2 should show sequential improvement for T as well — consistent with AT&amp;T's own guidance for improved wireless service revenue growth in Q2.</w:t>
      </w:r>
    </w:p>
    <w:p>
      <w:pPr>
        <w:pStyle w:val="ListBullet"/>
        <w:ind w:left="360" w:hanging="360"/>
      </w:pPr>
      <w:r>
        <w:rPr>
          <w:rFonts w:ascii="Calibri" w:hAnsi="Calibri"/>
          <w:b/>
          <w:color w:val="525866"/>
          <w:sz w:val="22"/>
        </w:rPr>
        <w:t>Fiber/convergence driving 30% lower churn:</w:t>
      </w:r>
      <w:r>
        <w:rPr>
          <w:rFonts w:ascii="Calibri" w:hAnsi="Calibri"/>
          <w:color w:val="525866"/>
          <w:sz w:val="22"/>
        </w:rPr>
        <w:t xml:space="preserve"> VZ noted churn on converged offers is "almost 30% less" with higher LTV and ARPA. </w:t>
      </w:r>
      <w:r>
        <w:rPr>
          <w:rFonts w:ascii="Calibri" w:hAnsi="Calibri"/>
          <w:i/>
          <w:color w:val="525866"/>
          <w:sz w:val="22"/>
        </w:rPr>
        <w:t>Read-through:</w:t>
      </w:r>
      <w:r>
        <w:rPr>
          <w:rFonts w:ascii="Calibri" w:hAnsi="Calibri"/>
          <w:color w:val="525866"/>
          <w:sz w:val="22"/>
        </w:rPr>
        <w:t xml:space="preserve"> Validates AT&amp;T's convergence thesis — the economics of bundled fiber+wireless are real and industry-wide.</w:t>
      </w:r>
    </w:p>
    <w:p>
      <w:pPr>
        <w:pStyle w:val="Heading3"/>
      </w:pPr>
      <w:r>
        <w:rPr>
          <w:rFonts w:ascii="Calibri" w:hAnsi="Calibri"/>
          <w:b/>
          <w:color w:val="3B4259"/>
          <w:sz w:val="24"/>
        </w:rPr>
        <w:t>Comcast (CMCSA) — Broadband Pricing Pressure &amp; Convergence</w:t>
      </w:r>
    </w:p>
    <w:p>
      <w:r>
        <w:rPr>
          <w:rFonts w:ascii="Calibri" w:hAnsi="Calibri"/>
          <w:b/>
          <w:color w:val="525866"/>
          <w:sz w:val="22"/>
        </w:rPr>
        <w:t xml:space="preserve">Sources: </w:t>
      </w:r>
      <w:r>
        <w:rPr>
          <w:rFonts w:ascii="Calibri" w:hAnsi="Calibri"/>
          <w:color w:val="525866"/>
          <w:sz w:val="22"/>
        </w:rPr>
        <w:t>Q1 2026 Earnings Call (Apr 23, 2026); Evercore TMT Conference (Jun 2, 2026)</w:t>
      </w:r>
    </w:p>
    <w:p>
      <w:pPr>
        <w:pStyle w:val="ListBullet"/>
        <w:ind w:left="360" w:hanging="360"/>
      </w:pPr>
      <w:r>
        <w:rPr>
          <w:rFonts w:ascii="Calibri" w:hAnsi="Calibri"/>
          <w:b/>
          <w:color w:val="E5484D"/>
          <w:sz w:val="22"/>
        </w:rPr>
        <w:t>Broadband ARPU pressure continuing into Q2:</w:t>
      </w:r>
      <w:r>
        <w:rPr>
          <w:rFonts w:ascii="Calibri" w:hAnsi="Calibri"/>
          <w:color w:val="525866"/>
          <w:sz w:val="22"/>
        </w:rPr>
        <w:t xml:space="preserve"> Comcast guided for "some incremental pressure" on broadband ARPU in Q2, attributing it to new go-to-market pricing and free wireless line dilution. Relief expected as the company exits 2026. </w:t>
      </w:r>
      <w:r>
        <w:rPr>
          <w:rFonts w:ascii="Calibri" w:hAnsi="Calibri"/>
          <w:i/>
          <w:color w:val="525866"/>
          <w:sz w:val="22"/>
        </w:rPr>
        <w:t>Read-through:</w:t>
      </w:r>
      <w:r>
        <w:rPr>
          <w:rFonts w:ascii="Calibri" w:hAnsi="Calibri"/>
          <w:color w:val="525866"/>
          <w:sz w:val="22"/>
        </w:rPr>
        <w:t xml:space="preserve"> Broadband pricing pressure is real and industry-wide in Q2 — AT&amp;T's fiber ARPU may face similar headwinds as it pushes penetration from 40% to 50% by targeting more price-sensitive segments.</w:t>
      </w:r>
    </w:p>
    <w:p>
      <w:pPr>
        <w:pStyle w:val="ListBullet"/>
        <w:ind w:left="360" w:hanging="360"/>
      </w:pPr>
      <w:r>
        <w:rPr>
          <w:rFonts w:ascii="Calibri" w:hAnsi="Calibri"/>
          <w:b/>
          <w:color w:val="525866"/>
          <w:sz w:val="22"/>
        </w:rPr>
        <w:t>Competitive environment "incredibly intense":</w:t>
      </w:r>
      <w:r>
        <w:rPr>
          <w:rFonts w:ascii="Calibri" w:hAnsi="Calibri"/>
          <w:color w:val="525866"/>
          <w:sz w:val="22"/>
        </w:rPr>
        <w:t xml:space="preserve"> Comcast described the broadband competitive environment as "incredibly intense" with "fixed wireless continuing to market aggressively" and "fiber overbuild moving at a rapid pace." The company is "not assuming this gets easier anytime soon." </w:t>
      </w:r>
      <w:r>
        <w:rPr>
          <w:rFonts w:ascii="Calibri" w:hAnsi="Calibri"/>
          <w:i/>
          <w:color w:val="525866"/>
          <w:sz w:val="22"/>
        </w:rPr>
        <w:t>Read-through:</w:t>
      </w:r>
      <w:r>
        <w:rPr>
          <w:rFonts w:ascii="Calibri" w:hAnsi="Calibri"/>
          <w:color w:val="525866"/>
          <w:sz w:val="22"/>
        </w:rPr>
        <w:t xml:space="preserve"> Validates that AT&amp;T's fiber net add targets face real competition; however, AT&amp;T's fiber product advantage over cable should help it maintain share.</w:t>
      </w:r>
    </w:p>
    <w:p>
      <w:pPr>
        <w:pStyle w:val="ListBullet"/>
        <w:ind w:left="360" w:hanging="360"/>
      </w:pPr>
      <w:r>
        <w:rPr>
          <w:rFonts w:ascii="Calibri" w:hAnsi="Calibri"/>
          <w:b/>
          <w:color w:val="525866"/>
          <w:sz w:val="22"/>
        </w:rPr>
        <w:t>Convergence ARPA at ~$85 vs. ~$170 for telcos:</w:t>
      </w:r>
      <w:r>
        <w:rPr>
          <w:rFonts w:ascii="Calibri" w:hAnsi="Calibri"/>
          <w:color w:val="525866"/>
          <w:sz w:val="22"/>
        </w:rPr>
        <w:t xml:space="preserve"> Comcast noted its convergence ARPA (broadband + wireless) is ~$85, roughly half of telecom competitors. </w:t>
      </w:r>
      <w:r>
        <w:rPr>
          <w:rFonts w:ascii="Calibri" w:hAnsi="Calibri"/>
          <w:i/>
          <w:color w:val="525866"/>
          <w:sz w:val="22"/>
        </w:rPr>
        <w:t>Read-through:</w:t>
      </w:r>
      <w:r>
        <w:rPr>
          <w:rFonts w:ascii="Calibri" w:hAnsi="Calibri"/>
          <w:color w:val="525866"/>
          <w:sz w:val="22"/>
        </w:rPr>
        <w:t xml:space="preserve"> This underscores AT&amp;T's structural ARPA advantage in converged markets — a positive for the long-term thesis, though near-term ARPU dilution from value-segment targeting is a headwind.</w:t>
      </w:r>
    </w:p>
    <w:p>
      <w:pPr>
        <w:pStyle w:val="ListBullet"/>
        <w:ind w:left="360" w:hanging="360"/>
      </w:pPr>
      <w:r>
        <w:rPr>
          <w:rFonts w:ascii="Calibri" w:hAnsi="Calibri"/>
          <w:b/>
          <w:color w:val="525866"/>
          <w:sz w:val="22"/>
        </w:rPr>
        <w:t>Voluntary churn improving:</w:t>
      </w:r>
      <w:r>
        <w:rPr>
          <w:rFonts w:ascii="Calibri" w:hAnsi="Calibri"/>
          <w:color w:val="525866"/>
          <w:sz w:val="22"/>
        </w:rPr>
        <w:t xml:space="preserve"> Comcast noted voluntary churn "continues to improve" as its go-to-market pivot gains traction. </w:t>
      </w:r>
      <w:r>
        <w:rPr>
          <w:rFonts w:ascii="Calibri" w:hAnsi="Calibri"/>
          <w:i/>
          <w:color w:val="525866"/>
          <w:sz w:val="22"/>
        </w:rPr>
        <w:t>Read-through:</w:t>
      </w:r>
      <w:r>
        <w:rPr>
          <w:rFonts w:ascii="Calibri" w:hAnsi="Calibri"/>
          <w:color w:val="525866"/>
          <w:sz w:val="22"/>
        </w:rPr>
        <w:t xml:space="preserve"> Cable operators improving churn means fewer customers churning to AT&amp;T fiber — a modest headwind for AT&amp;T's broadband net adds.</w:t>
      </w:r>
    </w:p>
    <w:p>
      <w:pPr>
        <w:pStyle w:val="Heading3"/>
      </w:pPr>
      <w:r>
        <w:rPr>
          <w:rFonts w:ascii="Calibri" w:hAnsi="Calibri"/>
          <w:b/>
          <w:color w:val="3B4259"/>
          <w:sz w:val="24"/>
        </w:rPr>
        <w:t>Charter Communications (CHTR) — Broadband Competition &amp; Pricing</w:t>
      </w:r>
    </w:p>
    <w:p>
      <w:r>
        <w:rPr>
          <w:rFonts w:ascii="Calibri" w:hAnsi="Calibri"/>
          <w:b/>
          <w:color w:val="525866"/>
          <w:sz w:val="22"/>
        </w:rPr>
        <w:t xml:space="preserve">Sources: </w:t>
      </w:r>
      <w:r>
        <w:rPr>
          <w:rFonts w:ascii="Calibri" w:hAnsi="Calibri"/>
          <w:color w:val="525866"/>
          <w:sz w:val="22"/>
        </w:rPr>
        <w:t>Q1 2026 Earnings Call (Apr 24, 2026); Moffett Nathanson Conference (May 14, 2026)</w:t>
      </w:r>
    </w:p>
    <w:p>
      <w:pPr>
        <w:pStyle w:val="ListBullet"/>
        <w:ind w:left="360" w:hanging="360"/>
      </w:pPr>
      <w:r>
        <w:rPr>
          <w:rFonts w:ascii="Calibri" w:hAnsi="Calibri"/>
          <w:b/>
          <w:color w:val="525866"/>
          <w:sz w:val="22"/>
        </w:rPr>
        <w:t>Broadband ARPU "close to flat" for FY 2026:</w:t>
      </w:r>
      <w:r>
        <w:rPr>
          <w:rFonts w:ascii="Calibri" w:hAnsi="Calibri"/>
          <w:color w:val="525866"/>
          <w:sz w:val="22"/>
        </w:rPr>
        <w:t xml:space="preserve"> Charter guided broadband ARPU growth to be "close to flat" for the full year, having skipped its usual Q1 cost pass-through. Plans to implement a price increase "towards the end of the summer" attached to a value increase. </w:t>
      </w:r>
      <w:r>
        <w:rPr>
          <w:rFonts w:ascii="Calibri" w:hAnsi="Calibri"/>
          <w:i/>
          <w:color w:val="525866"/>
          <w:sz w:val="22"/>
        </w:rPr>
        <w:t>Read-through:</w:t>
      </w:r>
      <w:r>
        <w:rPr>
          <w:rFonts w:ascii="Calibri" w:hAnsi="Calibri"/>
          <w:color w:val="525866"/>
          <w:sz w:val="22"/>
        </w:rPr>
        <w:t xml:space="preserve"> Cable operators are holding back on price increases, which reduces the pricing umbrella for AT&amp;T's fiber product — but AT&amp;T's convergence discount strategy is already priced in.</w:t>
      </w:r>
    </w:p>
    <w:p>
      <w:pPr>
        <w:pStyle w:val="ListBullet"/>
        <w:ind w:left="360" w:hanging="360"/>
      </w:pPr>
      <w:r>
        <w:rPr>
          <w:rFonts w:ascii="Calibri" w:hAnsi="Calibri"/>
          <w:b/>
          <w:color w:val="525866"/>
          <w:sz w:val="22"/>
        </w:rPr>
        <w:t>Fiber overbuild pace steady:</w:t>
      </w:r>
      <w:r>
        <w:rPr>
          <w:rFonts w:ascii="Calibri" w:hAnsi="Calibri"/>
          <w:color w:val="525866"/>
          <w:sz w:val="22"/>
        </w:rPr>
        <w:t xml:space="preserve"> Charter noted fiber overbuild in its footprint is at a "steady pace" and expects it "should be coming down because I don't think they're going to make any money off of it." </w:t>
      </w:r>
      <w:r>
        <w:rPr>
          <w:rFonts w:ascii="Calibri" w:hAnsi="Calibri"/>
          <w:i/>
          <w:color w:val="525866"/>
          <w:sz w:val="22"/>
        </w:rPr>
        <w:t>Read-through:</w:t>
      </w:r>
      <w:r>
        <w:rPr>
          <w:rFonts w:ascii="Calibri" w:hAnsi="Calibri"/>
          <w:color w:val="525866"/>
          <w:sz w:val="22"/>
        </w:rPr>
        <w:t xml:space="preserve"> AT&amp;T is one of the fiber overbuilders in Charter's footprint — Charter's commentary suggests AT&amp;T's build pace is being noticed by cable incumbents.</w:t>
      </w:r>
    </w:p>
    <w:p>
      <w:pPr>
        <w:pStyle w:val="ListBullet"/>
        <w:ind w:left="360" w:hanging="360"/>
      </w:pPr>
      <w:r>
        <w:rPr>
          <w:rFonts w:ascii="Calibri" w:hAnsi="Calibri"/>
          <w:b/>
          <w:color w:val="30A46C"/>
          <w:sz w:val="22"/>
        </w:rPr>
        <w:t>AT&amp;T filling FWA gap:</w:t>
      </w:r>
      <w:r>
        <w:rPr>
          <w:rFonts w:ascii="Calibri" w:hAnsi="Calibri"/>
          <w:color w:val="525866"/>
          <w:sz w:val="22"/>
        </w:rPr>
        <w:t xml:space="preserve"> Charter noted "AT&amp;T filling the gap where others have slowed down in fixed wireless access." </w:t>
      </w:r>
      <w:r>
        <w:rPr>
          <w:rFonts w:ascii="Calibri" w:hAnsi="Calibri"/>
          <w:i/>
          <w:color w:val="525866"/>
          <w:sz w:val="22"/>
        </w:rPr>
        <w:t>Read-through:</w:t>
      </w:r>
      <w:r>
        <w:rPr>
          <w:rFonts w:ascii="Calibri" w:hAnsi="Calibri"/>
          <w:color w:val="525866"/>
          <w:sz w:val="22"/>
        </w:rPr>
        <w:t xml:space="preserve"> AT&amp;T's FWA (Internet Air) is gaining traction in markets where TMUS/VZ have pulled back — a positive for AT&amp;T's advanced home internet net adds.</w:t>
      </w:r>
    </w:p>
    <w:p>
      <w:pPr>
        <w:pStyle w:val="ListBullet"/>
        <w:ind w:left="360" w:hanging="360"/>
      </w:pPr>
      <w:r>
        <w:rPr>
          <w:rFonts w:ascii="Calibri" w:hAnsi="Calibri"/>
          <w:b/>
          <w:color w:val="525866"/>
          <w:sz w:val="22"/>
        </w:rPr>
        <w:t>Low housing turnover limiting broadband sales:</w:t>
      </w:r>
      <w:r>
        <w:rPr>
          <w:rFonts w:ascii="Calibri" w:hAnsi="Calibri"/>
          <w:color w:val="525866"/>
          <w:sz w:val="22"/>
        </w:rPr>
        <w:t xml:space="preserve"> Charter cited "one of the lowest market move rates that we've seen" as a headwind to broadband subscriber acquisition. </w:t>
      </w:r>
      <w:r>
        <w:rPr>
          <w:rFonts w:ascii="Calibri" w:hAnsi="Calibri"/>
          <w:i/>
          <w:color w:val="525866"/>
          <w:sz w:val="22"/>
        </w:rPr>
        <w:t>Read-through:</w:t>
      </w:r>
      <w:r>
        <w:rPr>
          <w:rFonts w:ascii="Calibri" w:hAnsi="Calibri"/>
          <w:color w:val="525866"/>
          <w:sz w:val="22"/>
        </w:rPr>
        <w:t xml:space="preserve"> Low housing turnover is a macro headwind for all broadband providers including AT&amp;T — limits the pool of customers actively shopping for new service.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compensation-related acquisitions (transaction code A) — benefit plan grants, deferred stock units, and restricted stock awards. There are </w:t>
      </w:r>
      <w:r>
        <w:rPr>
          <w:rFonts w:ascii="Calibri" w:hAnsi="Calibri"/>
          <w:b/>
          <w:color w:val="525866"/>
          <w:sz w:val="22"/>
        </w:rPr>
        <w:t>zero open-market purchases (code P) or open-market sales (code S)</w:t>
      </w:r>
      <w:r>
        <w:rPr>
          <w:rFonts w:ascii="Calibri" w:hAnsi="Calibri"/>
          <w:color w:val="525866"/>
          <w:sz w:val="22"/>
        </w:rPr>
        <w:t xml:space="preserve"> in the period, which is neither a bullish nor bearish signal. The absence of discretionary buying by insiders ahead of earnings is notable given the stock's -14% decline since Q1.</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 (Effective)</w:t>
            </w:r>
          </w:p>
        </w:tc>
        <w:tc>
          <w:tcPr>
            <w:tcW w:type="dxa" w:w="1440"/>
          </w:tcPr>
          <w:p>
            <w:r>
              <w:rPr>
                <w:rFonts w:ascii="Calibri" w:hAnsi="Calibri"/>
                <w:b/>
                <w:sz w:val="22"/>
              </w:rPr>
              <w:t>Note</w:t>
            </w:r>
          </w:p>
        </w:tc>
      </w:tr>
      <w:tr>
        <w:tc>
          <w:tcPr>
            <w:tcW w:type="dxa" w:w="1440"/>
          </w:tcPr>
          <w:p>
            <w:r>
              <w:rPr>
                <w:rFonts w:ascii="Calibri" w:hAnsi="Calibri"/>
                <w:sz w:val="22"/>
              </w:rPr>
              <w:t>John T. Stankey</w:t>
            </w:r>
          </w:p>
        </w:tc>
        <w:tc>
          <w:tcPr>
            <w:tcW w:type="dxa" w:w="1440"/>
          </w:tcPr>
          <w:p>
            <w:r>
              <w:rPr>
                <w:rFonts w:ascii="Calibri" w:hAnsi="Calibri"/>
                <w:sz w:val="22"/>
              </w:rPr>
              <w:t>CEO &amp; President</w:t>
            </w:r>
          </w:p>
        </w:tc>
        <w:tc>
          <w:tcPr>
            <w:tcW w:type="dxa" w:w="1440"/>
          </w:tcPr>
          <w:p>
            <w:r>
              <w:rPr>
                <w:rFonts w:ascii="Calibri" w:hAnsi="Calibri"/>
                <w:sz w:val="22"/>
              </w:rPr>
              <w:t>Compensation Grant (A)</w:t>
            </w:r>
          </w:p>
        </w:tc>
        <w:tc>
          <w:tcPr>
            <w:tcW w:type="dxa" w:w="1440"/>
          </w:tcPr>
          <w:p>
            <w:r>
              <w:rPr>
                <w:rFonts w:ascii="Calibri" w:hAnsi="Calibri"/>
                <w:sz w:val="22"/>
              </w:rPr>
              <w:t>817</w:t>
            </w:r>
          </w:p>
        </w:tc>
        <w:tc>
          <w:tcPr>
            <w:tcW w:type="dxa" w:w="1440"/>
          </w:tcPr>
          <w:p>
            <w:r>
              <w:rPr>
                <w:rFonts w:ascii="Calibri" w:hAnsi="Calibri"/>
                <w:sz w:val="22"/>
              </w:rPr>
              <w:t>April 30, 2026</w:t>
            </w:r>
          </w:p>
        </w:tc>
        <w:tc>
          <w:tcPr>
            <w:tcW w:type="dxa" w:w="1440"/>
          </w:tcPr>
          <w:p>
            <w:r>
              <w:rPr>
                <w:rFonts w:ascii="Calibri" w:hAnsi="Calibri"/>
                <w:sz w:val="22"/>
              </w:rPr>
              <w:t>Benefit plan grant; not a discretionary purchase</w:t>
            </w:r>
          </w:p>
        </w:tc>
      </w:tr>
      <w:tr>
        <w:tc>
          <w:tcPr>
            <w:tcW w:type="dxa" w:w="1440"/>
          </w:tcPr>
          <w:p>
            <w:r>
              <w:rPr>
                <w:rFonts w:ascii="Calibri" w:hAnsi="Calibri"/>
                <w:sz w:val="22"/>
              </w:rPr>
              <w:t>Pascal Desroches</w:t>
            </w:r>
          </w:p>
        </w:tc>
        <w:tc>
          <w:tcPr>
            <w:tcW w:type="dxa" w:w="1440"/>
          </w:tcPr>
          <w:p>
            <w:r>
              <w:rPr>
                <w:rFonts w:ascii="Calibri" w:hAnsi="Calibri"/>
                <w:sz w:val="22"/>
              </w:rPr>
              <w:t>Sr. EVP &amp; CFO</w:t>
            </w:r>
          </w:p>
        </w:tc>
        <w:tc>
          <w:tcPr>
            <w:tcW w:type="dxa" w:w="1440"/>
          </w:tcPr>
          <w:p>
            <w:r>
              <w:rPr>
                <w:rFonts w:ascii="Calibri" w:hAnsi="Calibri"/>
                <w:sz w:val="22"/>
              </w:rPr>
              <w:t>Compensation Grant (A)</w:t>
            </w:r>
          </w:p>
        </w:tc>
        <w:tc>
          <w:tcPr>
            <w:tcW w:type="dxa" w:w="1440"/>
          </w:tcPr>
          <w:p>
            <w:r>
              <w:rPr>
                <w:rFonts w:ascii="Calibri" w:hAnsi="Calibri"/>
                <w:sz w:val="22"/>
              </w:rPr>
              <w:t>2,866</w:t>
            </w:r>
          </w:p>
        </w:tc>
        <w:tc>
          <w:tcPr>
            <w:tcW w:type="dxa" w:w="1440"/>
          </w:tcPr>
          <w:p>
            <w:r>
              <w:rPr>
                <w:rFonts w:ascii="Calibri" w:hAnsi="Calibri"/>
                <w:sz w:val="22"/>
              </w:rPr>
              <w:t>April 30, 2026</w:t>
            </w:r>
          </w:p>
        </w:tc>
        <w:tc>
          <w:tcPr>
            <w:tcW w:type="dxa" w:w="1440"/>
          </w:tcPr>
          <w:p>
            <w:r>
              <w:rPr>
                <w:rFonts w:ascii="Calibri" w:hAnsi="Calibri"/>
                <w:sz w:val="22"/>
              </w:rPr>
              <w:t>Benefit plan grant; Desroches announced retirement June 11</w:t>
            </w:r>
          </w:p>
        </w:tc>
      </w:tr>
      <w:tr>
        <w:tc>
          <w:tcPr>
            <w:tcW w:type="dxa" w:w="1440"/>
          </w:tcPr>
          <w:p>
            <w:r>
              <w:rPr>
                <w:rFonts w:ascii="Calibri" w:hAnsi="Calibri"/>
                <w:sz w:val="22"/>
              </w:rPr>
              <w:t>Jeffery S. McElfresh</w:t>
            </w:r>
          </w:p>
        </w:tc>
        <w:tc>
          <w:tcPr>
            <w:tcW w:type="dxa" w:w="1440"/>
          </w:tcPr>
          <w:p>
            <w:r>
              <w:rPr>
                <w:rFonts w:ascii="Calibri" w:hAnsi="Calibri"/>
                <w:sz w:val="22"/>
              </w:rPr>
              <w:t>Chief Operating Officer</w:t>
            </w:r>
          </w:p>
        </w:tc>
        <w:tc>
          <w:tcPr>
            <w:tcW w:type="dxa" w:w="1440"/>
          </w:tcPr>
          <w:p>
            <w:r>
              <w:rPr>
                <w:rFonts w:ascii="Calibri" w:hAnsi="Calibri"/>
                <w:sz w:val="22"/>
              </w:rPr>
              <w:t>Compensation Grant (A)</w:t>
            </w:r>
          </w:p>
        </w:tc>
        <w:tc>
          <w:tcPr>
            <w:tcW w:type="dxa" w:w="1440"/>
          </w:tcPr>
          <w:p>
            <w:r>
              <w:rPr>
                <w:rFonts w:ascii="Calibri" w:hAnsi="Calibri"/>
                <w:sz w:val="22"/>
              </w:rPr>
              <w:t>2,236</w:t>
            </w:r>
          </w:p>
        </w:tc>
        <w:tc>
          <w:tcPr>
            <w:tcW w:type="dxa" w:w="1440"/>
          </w:tcPr>
          <w:p>
            <w:r>
              <w:rPr>
                <w:rFonts w:ascii="Calibri" w:hAnsi="Calibri"/>
                <w:sz w:val="22"/>
              </w:rPr>
              <w:t>April 30, 2026</w:t>
            </w:r>
          </w:p>
        </w:tc>
        <w:tc>
          <w:tcPr>
            <w:tcW w:type="dxa" w:w="1440"/>
          </w:tcPr>
          <w:p>
            <w:r>
              <w:rPr>
                <w:rFonts w:ascii="Calibri" w:hAnsi="Calibri"/>
                <w:sz w:val="22"/>
              </w:rPr>
              <w:t>Benefit plan grant (10b5-1 plan)</w:t>
            </w:r>
          </w:p>
        </w:tc>
      </w:tr>
      <w:tr>
        <w:tc>
          <w:tcPr>
            <w:tcW w:type="dxa" w:w="1440"/>
          </w:tcPr>
          <w:p>
            <w:r>
              <w:rPr>
                <w:rFonts w:ascii="Calibri" w:hAnsi="Calibri"/>
                <w:sz w:val="22"/>
              </w:rPr>
              <w:t>Pascal Desroches</w:t>
            </w:r>
          </w:p>
        </w:tc>
        <w:tc>
          <w:tcPr>
            <w:tcW w:type="dxa" w:w="1440"/>
          </w:tcPr>
          <w:p>
            <w:r>
              <w:rPr>
                <w:rFonts w:ascii="Calibri" w:hAnsi="Calibri"/>
                <w:sz w:val="22"/>
              </w:rPr>
              <w:t>Sr. EVP &amp; CFO</w:t>
            </w:r>
          </w:p>
        </w:tc>
        <w:tc>
          <w:tcPr>
            <w:tcW w:type="dxa" w:w="1440"/>
          </w:tcPr>
          <w:p>
            <w:r>
              <w:rPr>
                <w:rFonts w:ascii="Calibri" w:hAnsi="Calibri"/>
                <w:sz w:val="22"/>
              </w:rPr>
              <w:t>Compensation Grant (A)</w:t>
            </w:r>
          </w:p>
        </w:tc>
        <w:tc>
          <w:tcPr>
            <w:tcW w:type="dxa" w:w="1440"/>
          </w:tcPr>
          <w:p>
            <w:r>
              <w:rPr>
                <w:rFonts w:ascii="Calibri" w:hAnsi="Calibri"/>
                <w:sz w:val="22"/>
              </w:rPr>
              <w:t>1,630</w:t>
            </w:r>
          </w:p>
        </w:tc>
        <w:tc>
          <w:tcPr>
            <w:tcW w:type="dxa" w:w="1440"/>
          </w:tcPr>
          <w:p>
            <w:r>
              <w:rPr>
                <w:rFonts w:ascii="Calibri" w:hAnsi="Calibri"/>
                <w:sz w:val="22"/>
              </w:rPr>
              <w:t>May 29, 2026</w:t>
            </w:r>
          </w:p>
        </w:tc>
        <w:tc>
          <w:tcPr>
            <w:tcW w:type="dxa" w:w="1440"/>
          </w:tcPr>
          <w:p>
            <w:r>
              <w:rPr>
                <w:rFonts w:ascii="Calibri" w:hAnsi="Calibri"/>
                <w:sz w:val="22"/>
              </w:rPr>
              <w:t>Benefit plan grant; post-retirement announcement</w:t>
            </w:r>
          </w:p>
        </w:tc>
      </w:tr>
      <w:tr>
        <w:tc>
          <w:tcPr>
            <w:tcW w:type="dxa" w:w="1440"/>
          </w:tcPr>
          <w:p>
            <w:r>
              <w:rPr>
                <w:rFonts w:ascii="Calibri" w:hAnsi="Calibri"/>
                <w:sz w:val="22"/>
              </w:rPr>
              <w:t>Jeffery S. McElfresh</w:t>
            </w:r>
          </w:p>
        </w:tc>
        <w:tc>
          <w:tcPr>
            <w:tcW w:type="dxa" w:w="1440"/>
          </w:tcPr>
          <w:p>
            <w:r>
              <w:rPr>
                <w:rFonts w:ascii="Calibri" w:hAnsi="Calibri"/>
                <w:sz w:val="22"/>
              </w:rPr>
              <w:t>Chief Operating Officer</w:t>
            </w:r>
          </w:p>
        </w:tc>
        <w:tc>
          <w:tcPr>
            <w:tcW w:type="dxa" w:w="1440"/>
          </w:tcPr>
          <w:p>
            <w:r>
              <w:rPr>
                <w:rFonts w:ascii="Calibri" w:hAnsi="Calibri"/>
                <w:sz w:val="22"/>
              </w:rPr>
              <w:t>Compensation Grant (A)</w:t>
            </w:r>
          </w:p>
        </w:tc>
        <w:tc>
          <w:tcPr>
            <w:tcW w:type="dxa" w:w="1440"/>
          </w:tcPr>
          <w:p>
            <w:r>
              <w:rPr>
                <w:rFonts w:ascii="Calibri" w:hAnsi="Calibri"/>
                <w:sz w:val="22"/>
              </w:rPr>
              <w:t>504</w:t>
            </w:r>
          </w:p>
        </w:tc>
        <w:tc>
          <w:tcPr>
            <w:tcW w:type="dxa" w:w="1440"/>
          </w:tcPr>
          <w:p>
            <w:r>
              <w:rPr>
                <w:rFonts w:ascii="Calibri" w:hAnsi="Calibri"/>
                <w:sz w:val="22"/>
              </w:rPr>
              <w:t>May 29, 2026</w:t>
            </w:r>
          </w:p>
        </w:tc>
        <w:tc>
          <w:tcPr>
            <w:tcW w:type="dxa" w:w="1440"/>
          </w:tcPr>
          <w:p>
            <w:r>
              <w:rPr>
                <w:rFonts w:ascii="Calibri" w:hAnsi="Calibri"/>
                <w:sz w:val="22"/>
              </w:rPr>
              <w:t>Benefit plan grant (10b5-1 plan)</w:t>
            </w:r>
          </w:p>
        </w:tc>
      </w:tr>
      <w:tr>
        <w:tc>
          <w:tcPr>
            <w:tcW w:type="dxa" w:w="1440"/>
          </w:tcPr>
          <w:p>
            <w:r>
              <w:rPr>
                <w:rFonts w:ascii="Calibri" w:hAnsi="Calibri"/>
                <w:sz w:val="22"/>
              </w:rPr>
              <w:t>Pascal Desroches</w:t>
            </w:r>
          </w:p>
        </w:tc>
        <w:tc>
          <w:tcPr>
            <w:tcW w:type="dxa" w:w="1440"/>
          </w:tcPr>
          <w:p>
            <w:r>
              <w:rPr>
                <w:rFonts w:ascii="Calibri" w:hAnsi="Calibri"/>
                <w:sz w:val="22"/>
              </w:rPr>
              <w:t>Sr. EVP &amp; CFO</w:t>
            </w:r>
          </w:p>
        </w:tc>
        <w:tc>
          <w:tcPr>
            <w:tcW w:type="dxa" w:w="1440"/>
          </w:tcPr>
          <w:p>
            <w:r>
              <w:rPr>
                <w:rFonts w:ascii="Calibri" w:hAnsi="Calibri"/>
                <w:sz w:val="22"/>
              </w:rPr>
              <w:t>Compensation Grant (A)</w:t>
            </w:r>
          </w:p>
        </w:tc>
        <w:tc>
          <w:tcPr>
            <w:tcW w:type="dxa" w:w="1440"/>
          </w:tcPr>
          <w:p>
            <w:r>
              <w:rPr>
                <w:rFonts w:ascii="Calibri" w:hAnsi="Calibri"/>
                <w:sz w:val="22"/>
              </w:rPr>
              <w:t>2,003</w:t>
            </w:r>
          </w:p>
        </w:tc>
        <w:tc>
          <w:tcPr>
            <w:tcW w:type="dxa" w:w="1440"/>
          </w:tcPr>
          <w:p>
            <w:r>
              <w:rPr>
                <w:rFonts w:ascii="Calibri" w:hAnsi="Calibri"/>
                <w:sz w:val="22"/>
              </w:rPr>
              <w:t>June 30, 2026</w:t>
            </w:r>
          </w:p>
        </w:tc>
        <w:tc>
          <w:tcPr>
            <w:tcW w:type="dxa" w:w="1440"/>
          </w:tcPr>
          <w:p>
            <w:r>
              <w:rPr>
                <w:rFonts w:ascii="Calibri" w:hAnsi="Calibri"/>
                <w:sz w:val="22"/>
              </w:rPr>
              <w:t>Benefit plan grant; final quarter before transition</w:t>
            </w:r>
          </w:p>
        </w:tc>
      </w:tr>
      <w:tr>
        <w:tc>
          <w:tcPr>
            <w:tcW w:type="dxa" w:w="1440"/>
          </w:tcPr>
          <w:p>
            <w:r>
              <w:rPr>
                <w:rFonts w:ascii="Calibri" w:hAnsi="Calibri"/>
                <w:sz w:val="22"/>
              </w:rPr>
              <w:t>Jeffery S. McElfresh</w:t>
            </w:r>
          </w:p>
        </w:tc>
        <w:tc>
          <w:tcPr>
            <w:tcW w:type="dxa" w:w="1440"/>
          </w:tcPr>
          <w:p>
            <w:r>
              <w:rPr>
                <w:rFonts w:ascii="Calibri" w:hAnsi="Calibri"/>
                <w:sz w:val="22"/>
              </w:rPr>
              <w:t>Chief Operating Officer</w:t>
            </w:r>
          </w:p>
        </w:tc>
        <w:tc>
          <w:tcPr>
            <w:tcW w:type="dxa" w:w="1440"/>
          </w:tcPr>
          <w:p>
            <w:r>
              <w:rPr>
                <w:rFonts w:ascii="Calibri" w:hAnsi="Calibri"/>
                <w:sz w:val="22"/>
              </w:rPr>
              <w:t>Compensation Grant (A)</w:t>
            </w:r>
          </w:p>
        </w:tc>
        <w:tc>
          <w:tcPr>
            <w:tcW w:type="dxa" w:w="1440"/>
          </w:tcPr>
          <w:p>
            <w:r>
              <w:rPr>
                <w:rFonts w:ascii="Calibri" w:hAnsi="Calibri"/>
                <w:sz w:val="22"/>
              </w:rPr>
              <w:t>604</w:t>
            </w:r>
          </w:p>
        </w:tc>
        <w:tc>
          <w:tcPr>
            <w:tcW w:type="dxa" w:w="1440"/>
          </w:tcPr>
          <w:p>
            <w:r>
              <w:rPr>
                <w:rFonts w:ascii="Calibri" w:hAnsi="Calibri"/>
                <w:sz w:val="22"/>
              </w:rPr>
              <w:t>June 30, 2026</w:t>
            </w:r>
          </w:p>
        </w:tc>
        <w:tc>
          <w:tcPr>
            <w:tcW w:type="dxa" w:w="1440"/>
          </w:tcPr>
          <w:p>
            <w:r>
              <w:rPr>
                <w:rFonts w:ascii="Calibri" w:hAnsi="Calibri"/>
                <w:sz w:val="22"/>
              </w:rPr>
              <w:t>Benefit plan grant (10b5-1 plan)</w:t>
            </w:r>
          </w:p>
        </w:tc>
      </w:tr>
    </w:tbl>
    <w:p>
      <w:r>
        <w:rPr>
          <w:rFonts w:ascii="Calibri" w:hAnsi="Calibri"/>
          <w:b/>
          <w:color w:val="525866"/>
          <w:sz w:val="22"/>
        </w:rPr>
        <w:t xml:space="preserve">Note: </w:t>
      </w:r>
      <w:r>
        <w:rPr>
          <w:rFonts w:ascii="Calibri" w:hAnsi="Calibri"/>
          <w:color w:val="525866"/>
          <w:sz w:val="22"/>
        </w:rPr>
        <w:t>Multiple directors (Luczo, Mayer, Rose, Taylor, Ubinas, Kennard, McCallister, Mooney, Grier) received deferred stock unit grants in the same periods — all are routine compensation, not discretionary market purchases. No open-market buys or sells were filed in the period. Source: SEC Form 4 Filings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