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Bdr>
          <w:bottom w:val="single" w:sz="4" w:space="1" w:color="FB9120"/>
        </w:pBdr>
      </w:pPr>
      <w:r>
        <w:rPr>
          <w:rFonts w:ascii="Calibri" w:hAnsi="Calibri"/>
          <w:b/>
          <w:color w:val="3B4259"/>
          <w:sz w:val="40"/>
        </w:rPr>
        <w:t>AT&amp;T Inc. (T) — Q2 2026 Earnings Preview</w:t>
      </w:r>
    </w:p>
    <w:tbl>
      <w:tblPr>
        <w:tblStyle w:val="TableGrid"/>
        <w:tblW w:type="auto" w:w="0"/>
        <w:tblLook w:firstColumn="1" w:firstRow="1" w:lastColumn="0" w:lastRow="0" w:noHBand="0" w:noVBand="1" w:val="04A0"/>
      </w:tblPr>
      <w:tblGrid>
        <w:gridCol w:w="2160"/>
        <w:gridCol w:w="2160"/>
        <w:gridCol w:w="2160"/>
        <w:gridCol w:w="2160"/>
      </w:tblGrid>
      <w:tr>
        <w:tc>
          <w:tcPr>
            <w:tcW w:type="dxa" w:w="2160"/>
          </w:tcPr>
          <w:p>
            <w:r>
              <w:rPr>
                <w:rFonts w:ascii="Calibri" w:hAnsi="Calibri"/>
                <w:b/>
                <w:sz w:val="22"/>
              </w:rPr>
              <w:t>Company</w:t>
            </w:r>
          </w:p>
        </w:tc>
        <w:tc>
          <w:tcPr>
            <w:tcW w:type="dxa" w:w="2160"/>
          </w:tcPr>
          <w:p>
            <w:r>
              <w:rPr>
                <w:rFonts w:ascii="Calibri" w:hAnsi="Calibri"/>
                <w:sz w:val="22"/>
              </w:rPr>
              <w:t>AT&amp;T Inc.</w:t>
            </w:r>
          </w:p>
        </w:tc>
        <w:tc>
          <w:tcPr>
            <w:tcW w:type="dxa" w:w="2160"/>
          </w:tcPr>
          <w:p>
            <w:r>
              <w:rPr>
                <w:rFonts w:ascii="Calibri" w:hAnsi="Calibri"/>
                <w:b/>
                <w:sz w:val="22"/>
              </w:rPr>
              <w:t>Earnings Date</w:t>
            </w:r>
          </w:p>
        </w:tc>
        <w:tc>
          <w:tcPr>
            <w:tcW w:type="dxa" w:w="2160"/>
          </w:tcPr>
          <w:p>
            <w:r>
              <w:rPr>
                <w:rFonts w:ascii="Calibri" w:hAnsi="Calibri"/>
                <w:sz w:val="22"/>
              </w:rPr>
              <w:t>July 22, 2026 (Pre-Market)</w:t>
            </w:r>
          </w:p>
        </w:tc>
      </w:tr>
      <w:tr>
        <w:tc>
          <w:tcPr>
            <w:tcW w:type="dxa" w:w="2160"/>
          </w:tcPr>
          <w:p>
            <w:r>
              <w:rPr>
                <w:rFonts w:ascii="Calibri" w:hAnsi="Calibri"/>
                <w:b/>
                <w:sz w:val="22"/>
              </w:rPr>
              <w:t>Ticker</w:t>
            </w:r>
          </w:p>
        </w:tc>
        <w:tc>
          <w:tcPr>
            <w:tcW w:type="dxa" w:w="2160"/>
          </w:tcPr>
          <w:p>
            <w:r>
              <w:rPr>
                <w:rFonts w:ascii="Calibri" w:hAnsi="Calibri"/>
                <w:sz w:val="22"/>
              </w:rPr>
              <w:t>NYSE: T</w:t>
            </w:r>
          </w:p>
        </w:tc>
        <w:tc>
          <w:tcPr>
            <w:tcW w:type="dxa" w:w="2160"/>
          </w:tcPr>
          <w:p>
            <w:r>
              <w:rPr>
                <w:rFonts w:ascii="Calibri" w:hAnsi="Calibri"/>
                <w:b/>
                <w:sz w:val="22"/>
              </w:rPr>
              <w:t>Prepared</w:t>
            </w:r>
          </w:p>
        </w:tc>
        <w:tc>
          <w:tcPr>
            <w:tcW w:type="dxa" w:w="2160"/>
          </w:tcPr>
          <w:p>
            <w:r>
              <w:rPr>
                <w:rFonts w:ascii="Calibri" w:hAnsi="Calibri"/>
                <w:sz w:val="22"/>
              </w:rPr>
              <w:t>July 21, 2026</w:t>
            </w:r>
          </w:p>
        </w:tc>
      </w:tr>
      <w:tr>
        <w:tc>
          <w:tcPr>
            <w:tcW w:type="dxa" w:w="2160"/>
          </w:tcPr>
          <w:p>
            <w:r>
              <w:rPr>
                <w:rFonts w:ascii="Calibri" w:hAnsi="Calibri"/>
                <w:b/>
                <w:sz w:val="22"/>
              </w:rPr>
              <w:t>Reporting Period</w:t>
            </w:r>
          </w:p>
        </w:tc>
        <w:tc>
          <w:tcPr>
            <w:tcW w:type="dxa" w:w="2160"/>
          </w:tcPr>
          <w:p>
            <w:r>
              <w:rPr>
                <w:rFonts w:ascii="Calibri" w:hAnsi="Calibri"/>
                <w:sz w:val="22"/>
              </w:rPr>
              <w:t>Q2 2026 (ended June 30, 2026)</w:t>
            </w:r>
          </w:p>
        </w:tc>
        <w:tc>
          <w:tcPr>
            <w:tcW w:type="dxa" w:w="2160"/>
          </w:tcPr>
          <w:p>
            <w:r>
              <w:rPr>
                <w:rFonts w:ascii="Calibri" w:hAnsi="Calibri"/>
                <w:b/>
                <w:sz w:val="22"/>
              </w:rPr>
              <w:t>Sector ETF (Chart)</w:t>
            </w:r>
          </w:p>
        </w:tc>
        <w:tc>
          <w:tcPr>
            <w:tcW w:type="dxa" w:w="2160"/>
          </w:tcPr>
          <w:p>
            <w:r>
              <w:rPr>
                <w:rFonts w:ascii="Calibri" w:hAnsi="Calibri"/>
                <w:sz w:val="22"/>
              </w:rPr>
              <w:t>XLC (Communication Services)</w:t>
            </w:r>
          </w:p>
        </w:tc>
      </w:tr>
    </w:tbl>
    <w:p>
      <w:pPr>
        <w:pStyle w:val="Heading2"/>
      </w:pPr>
      <w:r>
        <w:rPr>
          <w:rFonts w:ascii="Calibri" w:hAnsi="Calibri"/>
          <w:b/>
          <w:color w:val="3B4259"/>
          <w:sz w:val="28"/>
        </w:rPr>
        <w:t>1. Earnings Preview</w:t>
      </w:r>
    </w:p>
    <w:p>
      <w:r>
        <w:rPr>
          <w:rFonts w:ascii="Calibri" w:hAnsi="Calibri"/>
          <w:b/>
          <w:color w:val="525866"/>
          <w:sz w:val="22"/>
        </w:rPr>
        <w:t xml:space="preserve">Key Takeaway: </w:t>
      </w:r>
      <w:r>
        <w:rPr>
          <w:rFonts w:ascii="Calibri" w:hAnsi="Calibri"/>
          <w:color w:val="525866"/>
          <w:sz w:val="22"/>
        </w:rPr>
        <w:t>The setup into Q2 is a modest beat, with consensus sitting at a manageable bar on EPS ($0.586) and FCF ($4.4B) — both within management's guided range — but the single biggest swing factor is whether fiber net adds and advanced home internet additions accelerate as promised, validating the convergence thesis at scale.</w:t>
      </w:r>
    </w:p>
    <w:p>
      <w:r>
        <w:rPr>
          <w:rFonts w:ascii="Calibri" w:hAnsi="Calibri"/>
          <w:b/>
          <w:color w:val="525866"/>
          <w:sz w:val="22"/>
        </w:rPr>
        <w:t xml:space="preserve">Bar: </w:t>
      </w:r>
      <w:r>
        <w:rPr>
          <w:rFonts w:ascii="Calibri" w:hAnsi="Calibri"/>
          <w:color w:val="525866"/>
          <w:sz w:val="22"/>
        </w:rPr>
        <w:t xml:space="preserve">Consensus EPS of $0.586 sits comfortably within AT&amp;T's full-year adjusted EPS guidance of $2.25–$2.35, implying a low-to-moderate bar on the bottom line; the more demanding test is on fiber and broadband subscriber additions, where management explicitly guided for acceleration versus Q1's 584K combined fiber/fixed-wireless net adds. </w:t>
      </w:r>
      <w:r>
        <w:rPr>
          <w:rFonts w:ascii="Calibri" w:hAnsi="Calibri"/>
          <w:b/>
          <w:color w:val="525866"/>
          <w:sz w:val="22"/>
        </w:rPr>
        <w:t xml:space="preserve">Guidance/Tone: </w:t>
      </w:r>
      <w:r>
        <w:rPr>
          <w:rFonts w:ascii="Calibri" w:hAnsi="Calibri"/>
          <w:color w:val="525866"/>
          <w:sz w:val="22"/>
        </w:rPr>
        <w:t xml:space="preserve">Management tone has been consistently confident since the Q1 print — CFO Pascal Desroches reiterated the full-year outlook at the June 9 Mizuho Technology Conference, added a specific target of 40 million fiber passings by year-end, and highlighted accelerating advanced home internet additions in Q2 versus Q1. </w:t>
      </w:r>
      <w:r>
        <w:rPr>
          <w:rFonts w:ascii="Calibri" w:hAnsi="Calibri"/>
          <w:b/>
          <w:color w:val="525866"/>
          <w:sz w:val="22"/>
        </w:rPr>
        <w:t xml:space="preserve">Estimate Trajectory: </w:t>
      </w:r>
      <w:r>
        <w:rPr>
          <w:rFonts w:ascii="Calibri" w:hAnsi="Calibri"/>
          <w:color w:val="525866"/>
          <w:sz w:val="22"/>
        </w:rPr>
        <w:t xml:space="preserve">EPS estimates have been remarkably stable since the Q1 print (consensus moved from $0.586 to $0.586, essentially flat), suggesting the Street is tracking guidance closely with little divergence risk; FCF estimates for Q2 of ~$4.4B sit at the midpoint of management's $4.0–$4.5B Q2 guidance range, leaving modest upside if execution is clean. </w:t>
      </w:r>
      <w:r>
        <w:rPr>
          <w:rFonts w:ascii="Calibri" w:hAnsi="Calibri"/>
          <w:b/>
          <w:color w:val="525866"/>
          <w:sz w:val="22"/>
        </w:rPr>
        <w:t xml:space="preserve">Stock Setup: </w:t>
      </w:r>
      <w:r>
        <w:rPr>
          <w:rFonts w:ascii="Calibri" w:hAnsi="Calibri"/>
          <w:color w:val="525866"/>
          <w:sz w:val="22"/>
        </w:rPr>
        <w:t xml:space="preserve">T has underperformed sharply since Q1 earnings — down ~14% from the April 22 close to ~$22.26 as of July 21 — driven almost entirely by multiple compression (EV/EBITDA contracted from ~6.6x to ~6.1x over three months) rather than estimate cuts, as the stock sold off on Starlink/SpaceX competitive fears and sector-wide de-rating; at 9x NTM P/E and 7.6x P/FCF, valuation is near multi-year lows, creating an asymmetric setup if Q2 execution is clean. </w:t>
      </w:r>
      <w:r>
        <w:rPr>
          <w:rFonts w:ascii="Calibri" w:hAnsi="Calibri"/>
          <w:b/>
          <w:color w:val="525866"/>
          <w:sz w:val="22"/>
        </w:rPr>
        <w:t xml:space="preserve">Wildcard: </w:t>
      </w:r>
      <w:r>
        <w:rPr>
          <w:rFonts w:ascii="Calibri" w:hAnsi="Calibri"/>
          <w:color w:val="525866"/>
          <w:sz w:val="22"/>
        </w:rPr>
        <w:t>The single biggest surprise risk is the Lumen integration ramp — management acknowledged a staffing-gated build engine with municipal permitting variability causing quarterly choppiness; a miss on fiber net adds or a downward revision to the 8-million-location 2026 build target would be the most damaging outcome for the stock, while a beat on advanced home internet additions (&gt;600K combined) could re-rate the stock meaningfully higher.</w:t>
      </w:r>
    </w:p>
    <w:p>
      <w:r>
        <w:br w:type="page"/>
      </w:r>
    </w:p>
    <w:p>
      <w:pPr>
        <w:pStyle w:val="Heading2"/>
      </w:pPr>
      <w:r>
        <w:rPr>
          <w:rFonts w:ascii="Calibri" w:hAnsi="Calibri"/>
          <w:b/>
          <w:color w:val="3B4259"/>
          <w:sz w:val="28"/>
        </w:rPr>
        <w:t>2. KPIs &amp; Consensus Expectations</w:t>
      </w:r>
    </w:p>
    <w:p>
      <w:r>
        <w:rPr>
          <w:rFonts w:ascii="Calibri" w:hAnsi="Calibri"/>
          <w:b/>
          <w:color w:val="525866"/>
          <w:sz w:val="22"/>
        </w:rPr>
        <w:t xml:space="preserve">Key Takeaway: </w:t>
      </w:r>
      <w:r>
        <w:rPr>
          <w:rFonts w:ascii="Calibri" w:hAnsi="Calibri"/>
          <w:color w:val="525866"/>
          <w:sz w:val="22"/>
        </w:rPr>
        <w:t>Consensus sets a manageable bar on EPS and FCF, both within management's guided ranges, but the higher-stakes test is on fiber/broadband net adds where management has explicitly guided for Q2 acceleration — making subscriber execution the primary swing factor for the print.</w:t>
      </w:r>
    </w:p>
    <w:p>
      <w:pPr>
        <w:pStyle w:val="Heading3"/>
      </w:pPr>
      <w:r>
        <w:rPr>
          <w:rFonts w:ascii="Calibri" w:hAnsi="Calibri"/>
          <w:b/>
          <w:color w:val="3B4259"/>
          <w:sz w:val="24"/>
        </w:rPr>
        <w:t>Table 1 — Q2 2026 Current Quarter Snapshot (All Key KPIs)</w:t>
      </w:r>
    </w:p>
    <w:tbl>
      <w:tblPr>
        <w:tblStyle w:val="TableGrid"/>
        <w:tblW w:type="auto" w:w="0"/>
        <w:tblLook w:firstColumn="1" w:firstRow="1" w:lastColumn="0" w:lastRow="0" w:noHBand="0" w:noVBand="1" w:val="04A0"/>
      </w:tblPr>
      <w:tblGrid>
        <w:gridCol w:w="1234"/>
        <w:gridCol w:w="1234"/>
        <w:gridCol w:w="1234"/>
        <w:gridCol w:w="1234"/>
        <w:gridCol w:w="1234"/>
        <w:gridCol w:w="1234"/>
        <w:gridCol w:w="1234"/>
      </w:tblGrid>
      <w:tr>
        <w:tc>
          <w:tcPr>
            <w:tcW w:type="dxa" w:w="1234"/>
            <w:shd w:val="clear" w:color="auto" w:fill="3B4259"/>
          </w:tcPr>
          <w:p>
            <w:r>
              <w:rPr>
                <w:rFonts w:ascii="Calibri" w:hAnsi="Calibri"/>
                <w:b/>
                <w:color w:val="FFFFFF"/>
                <w:sz w:val="22"/>
              </w:rPr>
              <w:t>KPI</w:t>
            </w:r>
          </w:p>
        </w:tc>
        <w:tc>
          <w:tcPr>
            <w:tcW w:type="dxa" w:w="1234"/>
            <w:shd w:val="clear" w:color="auto" w:fill="3B4259"/>
          </w:tcPr>
          <w:p>
            <w:r>
              <w:rPr>
                <w:rFonts w:ascii="Calibri" w:hAnsi="Calibri"/>
                <w:b/>
                <w:color w:val="FFFFFF"/>
                <w:sz w:val="22"/>
              </w:rPr>
              <w:t>Q1 2026 Actual</w:t>
            </w:r>
          </w:p>
        </w:tc>
        <w:tc>
          <w:tcPr>
            <w:tcW w:type="dxa" w:w="1234"/>
            <w:shd w:val="clear" w:color="auto" w:fill="3B4259"/>
          </w:tcPr>
          <w:p>
            <w:r>
              <w:rPr>
                <w:rFonts w:ascii="Calibri" w:hAnsi="Calibri"/>
                <w:b/>
                <w:color w:val="FFFFFF"/>
                <w:sz w:val="22"/>
              </w:rPr>
              <w:t>Q2 2025 Actual (Prior Year)</w:t>
            </w:r>
          </w:p>
        </w:tc>
        <w:tc>
          <w:tcPr>
            <w:tcW w:type="dxa" w:w="1234"/>
            <w:shd w:val="clear" w:color="auto" w:fill="3B4259"/>
          </w:tcPr>
          <w:p>
            <w:r>
              <w:rPr>
                <w:rFonts w:ascii="Calibri" w:hAnsi="Calibri"/>
                <w:b/>
                <w:color w:val="FFFFFF"/>
                <w:sz w:val="22"/>
              </w:rPr>
              <w:t>Q2 2026 Consensus Estimate</w:t>
            </w:r>
          </w:p>
        </w:tc>
        <w:tc>
          <w:tcPr>
            <w:tcW w:type="dxa" w:w="1234"/>
            <w:shd w:val="clear" w:color="auto" w:fill="3B4259"/>
          </w:tcPr>
          <w:p>
            <w:r>
              <w:rPr>
                <w:rFonts w:ascii="Calibri" w:hAnsi="Calibri"/>
                <w:b/>
                <w:color w:val="FFFFFF"/>
                <w:sz w:val="22"/>
              </w:rPr>
              <w:t>YoY Change</w:t>
            </w:r>
          </w:p>
        </w:tc>
        <w:tc>
          <w:tcPr>
            <w:tcW w:type="dxa" w:w="1234"/>
            <w:shd w:val="clear" w:color="auto" w:fill="3B4259"/>
          </w:tcPr>
          <w:p>
            <w:r>
              <w:rPr>
                <w:rFonts w:ascii="Calibri" w:hAnsi="Calibri"/>
                <w:b/>
                <w:color w:val="FFFFFF"/>
                <w:sz w:val="22"/>
              </w:rPr>
              <w:t>Guidance</w:t>
            </w:r>
          </w:p>
        </w:tc>
        <w:tc>
          <w:tcPr>
            <w:tcW w:type="dxa" w:w="1234"/>
            <w:shd w:val="clear" w:color="auto" w:fill="3B4259"/>
          </w:tcPr>
          <w:p>
            <w:r>
              <w:rPr>
                <w:rFonts w:ascii="Calibri" w:hAnsi="Calibri"/>
                <w:b/>
                <w:color w:val="FFFFFF"/>
                <w:sz w:val="22"/>
              </w:rPr>
              <w:t>Consensus vs. Guidance</w:t>
            </w:r>
          </w:p>
        </w:tc>
      </w:tr>
      <w:tr>
        <w:tc>
          <w:tcPr>
            <w:tcW w:type="dxa" w:w="1234"/>
          </w:tcPr>
          <w:p>
            <w:r>
              <w:rPr>
                <w:rFonts w:ascii="Calibri" w:hAnsi="Calibri"/>
                <w:sz w:val="22"/>
              </w:rPr>
              <w:t>Diluted EPS — Operating ($)</w:t>
            </w:r>
          </w:p>
        </w:tc>
        <w:tc>
          <w:tcPr>
            <w:tcW w:type="dxa" w:w="1234"/>
          </w:tcPr>
          <w:p>
            <w:r>
              <w:rPr>
                <w:rFonts w:ascii="Calibri" w:hAnsi="Calibri"/>
                <w:sz w:val="22"/>
              </w:rPr>
              <w:t>$0.57</w:t>
            </w:r>
          </w:p>
        </w:tc>
        <w:tc>
          <w:tcPr>
            <w:tcW w:type="dxa" w:w="1234"/>
          </w:tcPr>
          <w:p>
            <w:r>
              <w:rPr>
                <w:rFonts w:ascii="Calibri" w:hAnsi="Calibri"/>
                <w:sz w:val="22"/>
              </w:rPr>
              <w:t>$0.54</w:t>
            </w:r>
          </w:p>
        </w:tc>
        <w:tc>
          <w:tcPr>
            <w:tcW w:type="dxa" w:w="1234"/>
          </w:tcPr>
          <w:p>
            <w:r>
              <w:rPr>
                <w:rFonts w:ascii="Calibri" w:hAnsi="Calibri"/>
                <w:sz w:val="22"/>
              </w:rPr>
              <w:t>$0.586</w:t>
            </w:r>
          </w:p>
        </w:tc>
        <w:tc>
          <w:tcPr>
            <w:tcW w:type="dxa" w:w="1234"/>
          </w:tcPr>
          <w:p>
            <w:r>
              <w:rPr>
                <w:rFonts w:ascii="Calibri" w:hAnsi="Calibri"/>
                <w:sz w:val="22"/>
              </w:rPr>
              <w:t>+8.5% YoY</w:t>
            </w:r>
          </w:p>
        </w:tc>
        <w:tc>
          <w:tcPr>
            <w:tcW w:type="dxa" w:w="1234"/>
          </w:tcPr>
          <w:p>
            <w:r>
              <w:rPr>
                <w:rFonts w:ascii="Calibri" w:hAnsi="Calibri"/>
                <w:sz w:val="22"/>
              </w:rPr>
              <w:t>FY $2.25–$2.35 (implies ~$0.56–$0.59/Q avg)</w:t>
            </w:r>
          </w:p>
        </w:tc>
        <w:tc>
          <w:tcPr>
            <w:tcW w:type="dxa" w:w="1234"/>
          </w:tcPr>
          <w:p>
            <w:r>
              <w:rPr>
                <w:rFonts w:ascii="Calibri" w:hAnsi="Calibri"/>
                <w:sz w:val="22"/>
              </w:rPr>
              <w:t>Within range; ~midpoint</w:t>
            </w:r>
          </w:p>
        </w:tc>
      </w:tr>
      <w:tr>
        <w:tc>
          <w:tcPr>
            <w:tcW w:type="dxa" w:w="1234"/>
          </w:tcPr>
          <w:p>
            <w:r>
              <w:rPr>
                <w:rFonts w:ascii="Calibri" w:hAnsi="Calibri"/>
                <w:sz w:val="22"/>
              </w:rPr>
              <w:t>Free Cash Flow ($B)</w:t>
            </w:r>
          </w:p>
        </w:tc>
        <w:tc>
          <w:tcPr>
            <w:tcW w:type="dxa" w:w="1234"/>
          </w:tcPr>
          <w:p>
            <w:r>
              <w:rPr>
                <w:rFonts w:ascii="Calibri" w:hAnsi="Calibri"/>
                <w:sz w:val="22"/>
              </w:rPr>
              <w:t>$2.506B</w:t>
            </w:r>
          </w:p>
        </w:tc>
        <w:tc>
          <w:tcPr>
            <w:tcW w:type="dxa" w:w="1234"/>
          </w:tcPr>
          <w:p>
            <w:r>
              <w:rPr>
                <w:rFonts w:ascii="Calibri" w:hAnsi="Calibri"/>
                <w:sz w:val="22"/>
              </w:rPr>
              <w:t>$4.394B</w:t>
            </w:r>
          </w:p>
        </w:tc>
        <w:tc>
          <w:tcPr>
            <w:tcW w:type="dxa" w:w="1234"/>
          </w:tcPr>
          <w:p>
            <w:r>
              <w:rPr>
                <w:rFonts w:ascii="Calibri" w:hAnsi="Calibri"/>
                <w:sz w:val="22"/>
              </w:rPr>
              <w:t>$4.426B</w:t>
            </w:r>
          </w:p>
        </w:tc>
        <w:tc>
          <w:tcPr>
            <w:tcW w:type="dxa" w:w="1234"/>
          </w:tcPr>
          <w:p>
            <w:r>
              <w:rPr>
                <w:rFonts w:ascii="Calibri" w:hAnsi="Calibri"/>
                <w:sz w:val="22"/>
              </w:rPr>
              <w:t>+0.7% YoY</w:t>
            </w:r>
          </w:p>
        </w:tc>
        <w:tc>
          <w:tcPr>
            <w:tcW w:type="dxa" w:w="1234"/>
          </w:tcPr>
          <w:p>
            <w:r>
              <w:rPr>
                <w:rFonts w:ascii="Calibri" w:hAnsi="Calibri"/>
                <w:sz w:val="22"/>
              </w:rPr>
              <w:t>Q2 $4.0–$4.5B (mgmt guided)</w:t>
            </w:r>
          </w:p>
        </w:tc>
        <w:tc>
          <w:tcPr>
            <w:tcW w:type="dxa" w:w="1234"/>
          </w:tcPr>
          <w:p>
            <w:r>
              <w:rPr>
                <w:rFonts w:ascii="Calibri" w:hAnsi="Calibri"/>
                <w:sz w:val="22"/>
              </w:rPr>
              <w:t>+~midpoint of range</w:t>
            </w:r>
          </w:p>
        </w:tc>
      </w:tr>
      <w:tr>
        <w:tc>
          <w:tcPr>
            <w:tcW w:type="dxa" w:w="1234"/>
          </w:tcPr>
          <w:p>
            <w:r>
              <w:rPr>
                <w:rFonts w:ascii="Calibri" w:hAnsi="Calibri"/>
                <w:sz w:val="22"/>
              </w:rPr>
              <w:t>Adjusted EBITDA ($B)</w:t>
            </w:r>
          </w:p>
        </w:tc>
        <w:tc>
          <w:tcPr>
            <w:tcW w:type="dxa" w:w="1234"/>
          </w:tcPr>
          <w:p>
            <w:r>
              <w:rPr>
                <w:rFonts w:ascii="Calibri" w:hAnsi="Calibri"/>
                <w:sz w:val="22"/>
              </w:rPr>
              <w:t>$11.624B</w:t>
            </w:r>
          </w:p>
        </w:tc>
        <w:tc>
          <w:tcPr>
            <w:tcW w:type="dxa" w:w="1234"/>
          </w:tcPr>
          <w:p>
            <w:r>
              <w:rPr>
                <w:rFonts w:ascii="Calibri" w:hAnsi="Calibri"/>
                <w:sz w:val="22"/>
              </w:rPr>
              <w:t>$11.752B</w:t>
            </w:r>
          </w:p>
        </w:tc>
        <w:tc>
          <w:tcPr>
            <w:tcW w:type="dxa" w:w="1234"/>
          </w:tcPr>
          <w:p>
            <w:r>
              <w:rPr>
                <w:rFonts w:ascii="Calibri" w:hAnsi="Calibri"/>
                <w:sz w:val="22"/>
              </w:rPr>
              <w:t>$12.073B</w:t>
            </w:r>
          </w:p>
        </w:tc>
        <w:tc>
          <w:tcPr>
            <w:tcW w:type="dxa" w:w="1234"/>
          </w:tcPr>
          <w:p>
            <w:r>
              <w:rPr>
                <w:rFonts w:ascii="Calibri" w:hAnsi="Calibri"/>
                <w:sz w:val="22"/>
              </w:rPr>
              <w:t>+2.7% YoY</w:t>
            </w:r>
          </w:p>
        </w:tc>
        <w:tc>
          <w:tcPr>
            <w:tcW w:type="dxa" w:w="1234"/>
          </w:tcPr>
          <w:p>
            <w:r>
              <w:rPr>
                <w:rFonts w:ascii="Calibri" w:hAnsi="Calibri"/>
                <w:sz w:val="22"/>
              </w:rPr>
              <w:t>FY +3%–4% growth; Q2 “improved growth vs Q1”</w:t>
            </w:r>
          </w:p>
        </w:tc>
        <w:tc>
          <w:tcPr>
            <w:tcW w:type="dxa" w:w="1234"/>
          </w:tcPr>
          <w:p>
            <w:r>
              <w:rPr>
                <w:rFonts w:ascii="Calibri" w:hAnsi="Calibri"/>
                <w:sz w:val="22"/>
              </w:rPr>
              <w:t>Tracking guidance; Q2 acceleration expected</w:t>
            </w:r>
          </w:p>
        </w:tc>
      </w:tr>
      <w:tr>
        <w:tc>
          <w:tcPr>
            <w:tcW w:type="dxa" w:w="1234"/>
          </w:tcPr>
          <w:p>
            <w:r>
              <w:rPr>
                <w:rFonts w:ascii="Calibri" w:hAnsi="Calibri"/>
                <w:sz w:val="22"/>
              </w:rPr>
              <w:t>AT&amp;T Fiber Net Adds (K)</w:t>
            </w:r>
          </w:p>
        </w:tc>
        <w:tc>
          <w:tcPr>
            <w:tcW w:type="dxa" w:w="1234"/>
          </w:tcPr>
          <w:p>
            <w:r>
              <w:rPr>
                <w:rFonts w:ascii="Calibri" w:hAnsi="Calibri"/>
                <w:sz w:val="22"/>
              </w:rPr>
              <w:t>273K (organic fiber only)</w:t>
            </w:r>
          </w:p>
        </w:tc>
        <w:tc>
          <w:tcPr>
            <w:tcW w:type="dxa" w:w="1234"/>
          </w:tcPr>
          <w:p>
            <w:r>
              <w:rPr>
                <w:rFonts w:ascii="Calibri" w:hAnsi="Calibri"/>
                <w:sz w:val="22"/>
              </w:rPr>
              <w:t>243K</w:t>
            </w:r>
          </w:p>
        </w:tc>
        <w:tc>
          <w:tcPr>
            <w:tcW w:type="dxa" w:w="1234"/>
          </w:tcPr>
          <w:p>
            <w:r>
              <w:rPr>
                <w:rFonts w:ascii="Calibri" w:hAnsi="Calibri"/>
                <w:sz w:val="22"/>
              </w:rPr>
              <w:t>~288K</w:t>
            </w:r>
          </w:p>
        </w:tc>
        <w:tc>
          <w:tcPr>
            <w:tcW w:type="dxa" w:w="1234"/>
          </w:tcPr>
          <w:p>
            <w:r>
              <w:rPr>
                <w:rFonts w:ascii="Calibri" w:hAnsi="Calibri"/>
                <w:sz w:val="22"/>
              </w:rPr>
              <w:t>+18.5% YoY</w:t>
            </w:r>
          </w:p>
        </w:tc>
        <w:tc>
          <w:tcPr>
            <w:tcW w:type="dxa" w:w="1234"/>
          </w:tcPr>
          <w:p>
            <w:r>
              <w:rPr>
                <w:rFonts w:ascii="Calibri" w:hAnsi="Calibri"/>
                <w:sz w:val="22"/>
              </w:rPr>
              <w:t>FY ~2.33M fiber net adds (incl. Lumen)</w:t>
            </w:r>
          </w:p>
        </w:tc>
        <w:tc>
          <w:tcPr>
            <w:tcW w:type="dxa" w:w="1234"/>
          </w:tcPr>
          <w:p>
            <w:r>
              <w:rPr>
                <w:rFonts w:ascii="Calibri" w:hAnsi="Calibri"/>
                <w:sz w:val="22"/>
              </w:rPr>
              <w:t>On track; Lumen adds incremental</w:t>
            </w:r>
          </w:p>
        </w:tc>
      </w:tr>
      <w:tr>
        <w:tc>
          <w:tcPr>
            <w:tcW w:type="dxa" w:w="1234"/>
          </w:tcPr>
          <w:p>
            <w:r>
              <w:rPr>
                <w:rFonts w:ascii="Calibri" w:hAnsi="Calibri"/>
                <w:sz w:val="22"/>
              </w:rPr>
              <w:t>Advanced Home Internet Net Adds (K) — Fiber + Fixed Wireless</w:t>
            </w:r>
          </w:p>
        </w:tc>
        <w:tc>
          <w:tcPr>
            <w:tcW w:type="dxa" w:w="1234"/>
          </w:tcPr>
          <w:p>
            <w:r>
              <w:rPr>
                <w:rFonts w:ascii="Calibri" w:hAnsi="Calibri"/>
                <w:sz w:val="22"/>
              </w:rPr>
              <w:t>584K (total incl. FWA)</w:t>
            </w:r>
          </w:p>
        </w:tc>
        <w:tc>
          <w:tcPr>
            <w:tcW w:type="dxa" w:w="1234"/>
          </w:tcPr>
          <w:p>
            <w:r>
              <w:rPr>
                <w:rFonts w:ascii="Calibri" w:hAnsi="Calibri"/>
                <w:sz w:val="22"/>
              </w:rPr>
              <w:t>446K</w:t>
            </w:r>
          </w:p>
        </w:tc>
        <w:tc>
          <w:tcPr>
            <w:tcW w:type="dxa" w:w="1234"/>
          </w:tcPr>
          <w:p>
            <w:r>
              <w:rPr>
                <w:rFonts w:ascii="Calibri" w:hAnsi="Calibri"/>
                <w:sz w:val="22"/>
              </w:rPr>
              <w:t>~523K</w:t>
            </w:r>
          </w:p>
        </w:tc>
        <w:tc>
          <w:tcPr>
            <w:tcW w:type="dxa" w:w="1234"/>
          </w:tcPr>
          <w:p>
            <w:r>
              <w:rPr>
                <w:rFonts w:ascii="Calibri" w:hAnsi="Calibri"/>
                <w:sz w:val="22"/>
              </w:rPr>
              <w:t>+17.3% YoY</w:t>
            </w:r>
          </w:p>
        </w:tc>
        <w:tc>
          <w:tcPr>
            <w:tcW w:type="dxa" w:w="1234"/>
          </w:tcPr>
          <w:p>
            <w:r>
              <w:rPr>
                <w:rFonts w:ascii="Calibri" w:hAnsi="Calibri"/>
                <w:sz w:val="22"/>
              </w:rPr>
              <w:t>Mgmt guided Q2 acceleration vs Q1</w:t>
            </w:r>
          </w:p>
        </w:tc>
        <w:tc>
          <w:tcPr>
            <w:tcW w:type="dxa" w:w="1234"/>
          </w:tcPr>
          <w:p>
            <w:r>
              <w:rPr>
                <w:rFonts w:ascii="Calibri" w:hAnsi="Calibri"/>
                <w:sz w:val="22"/>
              </w:rPr>
              <w:t>Consensus below mgmt acceleration signal; upside possible</w:t>
            </w:r>
          </w:p>
        </w:tc>
      </w:tr>
      <w:tr>
        <w:tc>
          <w:tcPr>
            <w:tcW w:type="dxa" w:w="1234"/>
          </w:tcPr>
          <w:p>
            <w:r>
              <w:rPr>
                <w:rFonts w:ascii="Calibri" w:hAnsi="Calibri"/>
                <w:sz w:val="22"/>
              </w:rPr>
              <w:t>Postpaid Phone Net Adds (K)</w:t>
            </w:r>
          </w:p>
        </w:tc>
        <w:tc>
          <w:tcPr>
            <w:tcW w:type="dxa" w:w="1234"/>
          </w:tcPr>
          <w:p>
            <w:r>
              <w:rPr>
                <w:rFonts w:ascii="Calibri" w:hAnsi="Calibri"/>
                <w:sz w:val="22"/>
              </w:rPr>
              <w:t>289K</w:t>
            </w:r>
          </w:p>
        </w:tc>
        <w:tc>
          <w:tcPr>
            <w:tcW w:type="dxa" w:w="1234"/>
          </w:tcPr>
          <w:p>
            <w:r>
              <w:rPr>
                <w:rFonts w:ascii="Calibri" w:hAnsi="Calibri"/>
                <w:sz w:val="22"/>
              </w:rPr>
              <w:t>377K</w:t>
            </w:r>
          </w:p>
        </w:tc>
        <w:tc>
          <w:tcPr>
            <w:tcW w:type="dxa" w:w="1234"/>
          </w:tcPr>
          <w:p>
            <w:r>
              <w:rPr>
                <w:rFonts w:ascii="Calibri" w:hAnsi="Calibri"/>
                <w:sz w:val="22"/>
              </w:rPr>
              <w:t>~343K</w:t>
            </w:r>
          </w:p>
        </w:tc>
        <w:tc>
          <w:tcPr>
            <w:tcW w:type="dxa" w:w="1234"/>
          </w:tcPr>
          <w:p>
            <w:r>
              <w:rPr>
                <w:rFonts w:ascii="Calibri" w:hAnsi="Calibri"/>
                <w:sz w:val="22"/>
              </w:rPr>
              <w:t>-9.0% YoY</w:t>
            </w:r>
          </w:p>
        </w:tc>
        <w:tc>
          <w:tcPr>
            <w:tcW w:type="dxa" w:w="1234"/>
          </w:tcPr>
          <w:p>
            <w:r>
              <w:rPr>
                <w:rFonts w:ascii="Calibri" w:hAnsi="Calibri"/>
                <w:sz w:val="22"/>
              </w:rPr>
              <w:t>FY ~1.37M (implies ~340K/Q avg)</w:t>
            </w:r>
          </w:p>
        </w:tc>
        <w:tc>
          <w:tcPr>
            <w:tcW w:type="dxa" w:w="1234"/>
          </w:tcPr>
          <w:p>
            <w:r>
              <w:rPr>
                <w:rFonts w:ascii="Calibri" w:hAnsi="Calibri"/>
                <w:sz w:val="22"/>
              </w:rPr>
              <w:t>~At FY run-rate; modest bar</w:t>
            </w:r>
          </w:p>
        </w:tc>
      </w:tr>
    </w:tbl>
    <w:p>
      <w:r>
        <w:rPr>
          <w:rFonts w:ascii="Calibri" w:hAnsi="Calibri"/>
          <w:b/>
          <w:color w:val="525866"/>
          <w:sz w:val="22"/>
        </w:rPr>
        <w:t xml:space="preserve">Sources: </w:t>
      </w:r>
      <w:r>
        <w:rPr>
          <w:rFonts w:ascii="Calibri" w:hAnsi="Calibri"/>
          <w:color w:val="525866"/>
          <w:sz w:val="22"/>
        </w:rPr>
        <w:t>Visible Alpha Consensus and Actuals Data (Diluted EPS — Operating, Free Cash Flow, EBITDA, AT&amp;T Fiber Net Adds, Advanced Home Internet Net Adds, Postpaid Phone Net Adds). Q2 FCF guidance range from Q1 2026 earnings call. FY guidance from Q1 2026 earnings call and June 9, 2026 Mizuho Technology Conference.</w:t>
      </w:r>
    </w:p>
    <w:p>
      <w:pPr>
        <w:pStyle w:val="Heading3"/>
      </w:pPr>
      <w:r>
        <w:rPr>
          <w:rFonts w:ascii="Calibri" w:hAnsi="Calibri"/>
          <w:b/>
          <w:color w:val="3B4259"/>
          <w:sz w:val="24"/>
        </w:rPr>
        <w:t>Table 2 — Beat/Miss History (Last 8 Quarters, Top 2 KPIs: Operating EPS &amp; FCF)</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Quarter</w:t>
            </w:r>
          </w:p>
        </w:tc>
        <w:tc>
          <w:tcPr>
            <w:tcW w:type="dxa" w:w="1440"/>
            <w:shd w:val="clear" w:color="auto" w:fill="3B4259"/>
          </w:tcPr>
          <w:p>
            <w:r>
              <w:rPr>
                <w:rFonts w:ascii="Calibri" w:hAnsi="Calibri"/>
                <w:b/>
                <w:color w:val="FFFFFF"/>
                <w:sz w:val="22"/>
              </w:rPr>
              <w:t>KPI</w:t>
            </w:r>
          </w:p>
        </w:tc>
        <w:tc>
          <w:tcPr>
            <w:tcW w:type="dxa" w:w="1440"/>
            <w:shd w:val="clear" w:color="auto" w:fill="3B4259"/>
          </w:tcPr>
          <w:p>
            <w:r>
              <w:rPr>
                <w:rFonts w:ascii="Calibri" w:hAnsi="Calibri"/>
                <w:b/>
                <w:color w:val="FFFFFF"/>
                <w:sz w:val="22"/>
              </w:rPr>
              <w:t>Reported</w:t>
            </w:r>
          </w:p>
        </w:tc>
        <w:tc>
          <w:tcPr>
            <w:tcW w:type="dxa" w:w="1440"/>
            <w:shd w:val="clear" w:color="auto" w:fill="3B4259"/>
          </w:tcPr>
          <w:p>
            <w:r>
              <w:rPr>
                <w:rFonts w:ascii="Calibri" w:hAnsi="Calibri"/>
                <w:b/>
                <w:color w:val="FFFFFF"/>
                <w:sz w:val="22"/>
              </w:rPr>
              <w:t>Consensus</w:t>
            </w:r>
          </w:p>
        </w:tc>
        <w:tc>
          <w:tcPr>
            <w:tcW w:type="dxa" w:w="1440"/>
            <w:shd w:val="clear" w:color="auto" w:fill="3B4259"/>
          </w:tcPr>
          <w:p>
            <w:r>
              <w:rPr>
                <w:rFonts w:ascii="Calibri" w:hAnsi="Calibri"/>
                <w:b/>
                <w:color w:val="FFFFFF"/>
                <w:sz w:val="22"/>
              </w:rPr>
              <w:t>Surprise %</w:t>
            </w:r>
          </w:p>
        </w:tc>
        <w:tc>
          <w:tcPr>
            <w:tcW w:type="dxa" w:w="1440"/>
            <w:shd w:val="clear" w:color="auto" w:fill="3B4259"/>
          </w:tcPr>
          <w:p>
            <w:r>
              <w:rPr>
                <w:rFonts w:ascii="Calibri" w:hAnsi="Calibri"/>
                <w:b/>
                <w:color w:val="FFFFFF"/>
                <w:sz w:val="22"/>
              </w:rPr>
              <w:t>Result</w:t>
            </w:r>
          </w:p>
        </w:tc>
      </w:tr>
      <w:tr>
        <w:tc>
          <w:tcPr>
            <w:tcW w:type="dxa" w:w="1440"/>
          </w:tcPr>
          <w:p>
            <w:r>
              <w:rPr>
                <w:rFonts w:ascii="Calibri" w:hAnsi="Calibri"/>
                <w:sz w:val="22"/>
              </w:rPr>
              <w:t>Q1 2026</w:t>
            </w:r>
          </w:p>
        </w:tc>
        <w:tc>
          <w:tcPr>
            <w:tcW w:type="dxa" w:w="1440"/>
          </w:tcPr>
          <w:p>
            <w:r>
              <w:rPr>
                <w:rFonts w:ascii="Calibri" w:hAnsi="Calibri"/>
                <w:sz w:val="22"/>
              </w:rPr>
              <w:t>Operating EPS</w:t>
            </w:r>
          </w:p>
        </w:tc>
        <w:tc>
          <w:tcPr>
            <w:tcW w:type="dxa" w:w="1440"/>
          </w:tcPr>
          <w:p>
            <w:r>
              <w:rPr>
                <w:rFonts w:ascii="Calibri" w:hAnsi="Calibri"/>
                <w:sz w:val="22"/>
              </w:rPr>
              <w:t>$0.57</w:t>
            </w:r>
          </w:p>
        </w:tc>
        <w:tc>
          <w:tcPr>
            <w:tcW w:type="dxa" w:w="1440"/>
          </w:tcPr>
          <w:p>
            <w:r>
              <w:rPr>
                <w:rFonts w:ascii="Calibri" w:hAnsi="Calibri"/>
                <w:sz w:val="22"/>
              </w:rPr>
              <w:t>$0.556</w:t>
            </w:r>
          </w:p>
        </w:tc>
        <w:tc>
          <w:tcPr>
            <w:tcW w:type="dxa" w:w="1440"/>
          </w:tcPr>
          <w:p>
            <w:r>
              <w:rPr>
                <w:rFonts w:ascii="Calibri" w:hAnsi="Calibri"/>
                <w:b/>
                <w:color w:val="30A46C"/>
                <w:sz w:val="22"/>
              </w:rPr>
              <w:t>+2.5%</w:t>
            </w:r>
          </w:p>
        </w:tc>
        <w:tc>
          <w:tcPr>
            <w:tcW w:type="dxa" w:w="1440"/>
          </w:tcPr>
          <w:p>
            <w:r>
              <w:rPr>
                <w:rFonts w:ascii="Calibri" w:hAnsi="Calibri"/>
                <w:b/>
                <w:color w:val="30A46C"/>
                <w:sz w:val="22"/>
              </w:rPr>
              <w:t>Beat</w:t>
            </w:r>
          </w:p>
        </w:tc>
      </w:tr>
      <w:tr>
        <w:tc>
          <w:tcPr>
            <w:tcW w:type="dxa" w:w="1440"/>
          </w:tcPr>
          <w:p>
            <w:r>
              <w:rPr>
                <w:rFonts w:ascii="Calibri" w:hAnsi="Calibri"/>
                <w:sz w:val="22"/>
              </w:rPr>
              <w:t>Q1 2026</w:t>
            </w:r>
          </w:p>
        </w:tc>
        <w:tc>
          <w:tcPr>
            <w:tcW w:type="dxa" w:w="1440"/>
          </w:tcPr>
          <w:p>
            <w:r>
              <w:rPr>
                <w:rFonts w:ascii="Calibri" w:hAnsi="Calibri"/>
                <w:sz w:val="22"/>
              </w:rPr>
              <w:t>Free Cash Flow</w:t>
            </w:r>
          </w:p>
        </w:tc>
        <w:tc>
          <w:tcPr>
            <w:tcW w:type="dxa" w:w="1440"/>
          </w:tcPr>
          <w:p>
            <w:r>
              <w:rPr>
                <w:rFonts w:ascii="Calibri" w:hAnsi="Calibri"/>
                <w:sz w:val="22"/>
              </w:rPr>
              <w:t>$2.506B</w:t>
            </w:r>
          </w:p>
        </w:tc>
        <w:tc>
          <w:tcPr>
            <w:tcW w:type="dxa" w:w="1440"/>
          </w:tcPr>
          <w:p>
            <w:r>
              <w:rPr>
                <w:rFonts w:ascii="Calibri" w:hAnsi="Calibri"/>
                <w:sz w:val="22"/>
              </w:rPr>
              <w:t>$2.472B</w:t>
            </w:r>
          </w:p>
        </w:tc>
        <w:tc>
          <w:tcPr>
            <w:tcW w:type="dxa" w:w="1440"/>
          </w:tcPr>
          <w:p>
            <w:r>
              <w:rPr>
                <w:rFonts w:ascii="Calibri" w:hAnsi="Calibri"/>
                <w:b/>
                <w:color w:val="30A46C"/>
                <w:sz w:val="22"/>
              </w:rPr>
              <w:t>+1.4%</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Operating EPS</w:t>
            </w:r>
          </w:p>
        </w:tc>
        <w:tc>
          <w:tcPr>
            <w:tcW w:type="dxa" w:w="1440"/>
          </w:tcPr>
          <w:p>
            <w:r>
              <w:rPr>
                <w:rFonts w:ascii="Calibri" w:hAnsi="Calibri"/>
                <w:sz w:val="22"/>
              </w:rPr>
              <w:t>$0.52</w:t>
            </w:r>
          </w:p>
        </w:tc>
        <w:tc>
          <w:tcPr>
            <w:tcW w:type="dxa" w:w="1440"/>
          </w:tcPr>
          <w:p>
            <w:r>
              <w:rPr>
                <w:rFonts w:ascii="Calibri" w:hAnsi="Calibri"/>
                <w:sz w:val="22"/>
              </w:rPr>
              <w:t>$0.456</w:t>
            </w:r>
          </w:p>
        </w:tc>
        <w:tc>
          <w:tcPr>
            <w:tcW w:type="dxa" w:w="1440"/>
          </w:tcPr>
          <w:p>
            <w:r>
              <w:rPr>
                <w:rFonts w:ascii="Calibri" w:hAnsi="Calibri"/>
                <w:b/>
                <w:color w:val="30A46C"/>
                <w:sz w:val="22"/>
              </w:rPr>
              <w:t>+14.0%</w:t>
            </w:r>
          </w:p>
        </w:tc>
        <w:tc>
          <w:tcPr>
            <w:tcW w:type="dxa" w:w="1440"/>
          </w:tcPr>
          <w:p>
            <w:r>
              <w:rPr>
                <w:rFonts w:ascii="Calibri" w:hAnsi="Calibri"/>
                <w:b/>
                <w:color w:val="30A46C"/>
                <w:sz w:val="22"/>
              </w:rPr>
              <w:t>Beat</w:t>
            </w:r>
          </w:p>
        </w:tc>
      </w:tr>
      <w:tr>
        <w:tc>
          <w:tcPr>
            <w:tcW w:type="dxa" w:w="1440"/>
          </w:tcPr>
          <w:p>
            <w:r>
              <w:rPr>
                <w:rFonts w:ascii="Calibri" w:hAnsi="Calibri"/>
                <w:sz w:val="22"/>
              </w:rPr>
              <w:t>Q4 2025</w:t>
            </w:r>
          </w:p>
        </w:tc>
        <w:tc>
          <w:tcPr>
            <w:tcW w:type="dxa" w:w="1440"/>
          </w:tcPr>
          <w:p>
            <w:r>
              <w:rPr>
                <w:rFonts w:ascii="Calibri" w:hAnsi="Calibri"/>
                <w:sz w:val="22"/>
              </w:rPr>
              <w:t>Free Cash Flow</w:t>
            </w:r>
          </w:p>
        </w:tc>
        <w:tc>
          <w:tcPr>
            <w:tcW w:type="dxa" w:w="1440"/>
          </w:tcPr>
          <w:p>
            <w:r>
              <w:rPr>
                <w:rFonts w:ascii="Calibri" w:hAnsi="Calibri"/>
                <w:sz w:val="22"/>
              </w:rPr>
              <w:t>$4.181B</w:t>
            </w:r>
          </w:p>
        </w:tc>
        <w:tc>
          <w:tcPr>
            <w:tcW w:type="dxa" w:w="1440"/>
          </w:tcPr>
          <w:p>
            <w:r>
              <w:rPr>
                <w:rFonts w:ascii="Calibri" w:hAnsi="Calibri"/>
                <w:sz w:val="22"/>
              </w:rPr>
              <w:t>$4.014B</w:t>
            </w:r>
          </w:p>
        </w:tc>
        <w:tc>
          <w:tcPr>
            <w:tcW w:type="dxa" w:w="1440"/>
          </w:tcPr>
          <w:p>
            <w:r>
              <w:rPr>
                <w:rFonts w:ascii="Calibri" w:hAnsi="Calibri"/>
                <w:b/>
                <w:color w:val="30A46C"/>
                <w:sz w:val="22"/>
              </w:rPr>
              <w:t>+4.2%</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Operating EPS</w:t>
            </w:r>
          </w:p>
        </w:tc>
        <w:tc>
          <w:tcPr>
            <w:tcW w:type="dxa" w:w="1440"/>
          </w:tcPr>
          <w:p>
            <w:r>
              <w:rPr>
                <w:rFonts w:ascii="Calibri" w:hAnsi="Calibri"/>
                <w:sz w:val="22"/>
              </w:rPr>
              <w:t>$0.54</w:t>
            </w:r>
          </w:p>
        </w:tc>
        <w:tc>
          <w:tcPr>
            <w:tcW w:type="dxa" w:w="1440"/>
          </w:tcPr>
          <w:p>
            <w:r>
              <w:rPr>
                <w:rFonts w:ascii="Calibri" w:hAnsi="Calibri"/>
                <w:sz w:val="22"/>
              </w:rPr>
              <w:t>$0.536</w:t>
            </w:r>
          </w:p>
        </w:tc>
        <w:tc>
          <w:tcPr>
            <w:tcW w:type="dxa" w:w="1440"/>
          </w:tcPr>
          <w:p>
            <w:r>
              <w:rPr>
                <w:rFonts w:ascii="Calibri" w:hAnsi="Calibri"/>
                <w:b/>
                <w:color w:val="30A46C"/>
                <w:sz w:val="22"/>
              </w:rPr>
              <w:t>+0.7%</w:t>
            </w:r>
          </w:p>
        </w:tc>
        <w:tc>
          <w:tcPr>
            <w:tcW w:type="dxa" w:w="1440"/>
          </w:tcPr>
          <w:p>
            <w:r>
              <w:rPr>
                <w:rFonts w:ascii="Calibri" w:hAnsi="Calibri"/>
                <w:b/>
                <w:color w:val="30A46C"/>
                <w:sz w:val="22"/>
              </w:rPr>
              <w:t>Beat</w:t>
            </w:r>
          </w:p>
        </w:tc>
      </w:tr>
      <w:tr>
        <w:tc>
          <w:tcPr>
            <w:tcW w:type="dxa" w:w="1440"/>
          </w:tcPr>
          <w:p>
            <w:r>
              <w:rPr>
                <w:rFonts w:ascii="Calibri" w:hAnsi="Calibri"/>
                <w:sz w:val="22"/>
              </w:rPr>
              <w:t>Q3 2025</w:t>
            </w:r>
          </w:p>
        </w:tc>
        <w:tc>
          <w:tcPr>
            <w:tcW w:type="dxa" w:w="1440"/>
          </w:tcPr>
          <w:p>
            <w:r>
              <w:rPr>
                <w:rFonts w:ascii="Calibri" w:hAnsi="Calibri"/>
                <w:sz w:val="22"/>
              </w:rPr>
              <w:t>Free Cash Flow</w:t>
            </w:r>
          </w:p>
        </w:tc>
        <w:tc>
          <w:tcPr>
            <w:tcW w:type="dxa" w:w="1440"/>
          </w:tcPr>
          <w:p>
            <w:r>
              <w:rPr>
                <w:rFonts w:ascii="Calibri" w:hAnsi="Calibri"/>
                <w:sz w:val="22"/>
              </w:rPr>
              <w:t>$4.865B</w:t>
            </w:r>
          </w:p>
        </w:tc>
        <w:tc>
          <w:tcPr>
            <w:tcW w:type="dxa" w:w="1440"/>
          </w:tcPr>
          <w:p>
            <w:r>
              <w:rPr>
                <w:rFonts w:ascii="Calibri" w:hAnsi="Calibri"/>
                <w:sz w:val="22"/>
              </w:rPr>
              <w:t>$4.641B</w:t>
            </w:r>
          </w:p>
        </w:tc>
        <w:tc>
          <w:tcPr>
            <w:tcW w:type="dxa" w:w="1440"/>
          </w:tcPr>
          <w:p>
            <w:r>
              <w:rPr>
                <w:rFonts w:ascii="Calibri" w:hAnsi="Calibri"/>
                <w:b/>
                <w:color w:val="30A46C"/>
                <w:sz w:val="22"/>
              </w:rPr>
              <w:t>+4.8%</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Operating EPS</w:t>
            </w:r>
          </w:p>
        </w:tc>
        <w:tc>
          <w:tcPr>
            <w:tcW w:type="dxa" w:w="1440"/>
          </w:tcPr>
          <w:p>
            <w:r>
              <w:rPr>
                <w:rFonts w:ascii="Calibri" w:hAnsi="Calibri"/>
                <w:sz w:val="22"/>
              </w:rPr>
              <w:t>$0.54</w:t>
            </w:r>
          </w:p>
        </w:tc>
        <w:tc>
          <w:tcPr>
            <w:tcW w:type="dxa" w:w="1440"/>
          </w:tcPr>
          <w:p>
            <w:r>
              <w:rPr>
                <w:rFonts w:ascii="Calibri" w:hAnsi="Calibri"/>
                <w:sz w:val="22"/>
              </w:rPr>
              <w:t>$0.516</w:t>
            </w:r>
          </w:p>
        </w:tc>
        <w:tc>
          <w:tcPr>
            <w:tcW w:type="dxa" w:w="1440"/>
          </w:tcPr>
          <w:p>
            <w:r>
              <w:rPr>
                <w:rFonts w:ascii="Calibri" w:hAnsi="Calibri"/>
                <w:b/>
                <w:color w:val="30A46C"/>
                <w:sz w:val="22"/>
              </w:rPr>
              <w:t>+4.6%</w:t>
            </w:r>
          </w:p>
        </w:tc>
        <w:tc>
          <w:tcPr>
            <w:tcW w:type="dxa" w:w="1440"/>
          </w:tcPr>
          <w:p>
            <w:r>
              <w:rPr>
                <w:rFonts w:ascii="Calibri" w:hAnsi="Calibri"/>
                <w:b/>
                <w:color w:val="30A46C"/>
                <w:sz w:val="22"/>
              </w:rPr>
              <w:t>Beat</w:t>
            </w:r>
          </w:p>
        </w:tc>
      </w:tr>
      <w:tr>
        <w:tc>
          <w:tcPr>
            <w:tcW w:type="dxa" w:w="1440"/>
          </w:tcPr>
          <w:p>
            <w:r>
              <w:rPr>
                <w:rFonts w:ascii="Calibri" w:hAnsi="Calibri"/>
                <w:sz w:val="22"/>
              </w:rPr>
              <w:t>Q2 2025</w:t>
            </w:r>
          </w:p>
        </w:tc>
        <w:tc>
          <w:tcPr>
            <w:tcW w:type="dxa" w:w="1440"/>
          </w:tcPr>
          <w:p>
            <w:r>
              <w:rPr>
                <w:rFonts w:ascii="Calibri" w:hAnsi="Calibri"/>
                <w:sz w:val="22"/>
              </w:rPr>
              <w:t>Free Cash Flow</w:t>
            </w:r>
          </w:p>
        </w:tc>
        <w:tc>
          <w:tcPr>
            <w:tcW w:type="dxa" w:w="1440"/>
          </w:tcPr>
          <w:p>
            <w:r>
              <w:rPr>
                <w:rFonts w:ascii="Calibri" w:hAnsi="Calibri"/>
                <w:sz w:val="22"/>
              </w:rPr>
              <w:t>$4.394B</w:t>
            </w:r>
          </w:p>
        </w:tc>
        <w:tc>
          <w:tcPr>
            <w:tcW w:type="dxa" w:w="1440"/>
          </w:tcPr>
          <w:p>
            <w:r>
              <w:rPr>
                <w:rFonts w:ascii="Calibri" w:hAnsi="Calibri"/>
                <w:sz w:val="22"/>
              </w:rPr>
              <w:t>$4.257B</w:t>
            </w:r>
          </w:p>
        </w:tc>
        <w:tc>
          <w:tcPr>
            <w:tcW w:type="dxa" w:w="1440"/>
          </w:tcPr>
          <w:p>
            <w:r>
              <w:rPr>
                <w:rFonts w:ascii="Calibri" w:hAnsi="Calibri"/>
                <w:b/>
                <w:color w:val="30A46C"/>
                <w:sz w:val="22"/>
              </w:rPr>
              <w:t>+3.2%</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Operating EPS</w:t>
            </w:r>
          </w:p>
        </w:tc>
        <w:tc>
          <w:tcPr>
            <w:tcW w:type="dxa" w:w="1440"/>
          </w:tcPr>
          <w:p>
            <w:r>
              <w:rPr>
                <w:rFonts w:ascii="Calibri" w:hAnsi="Calibri"/>
                <w:sz w:val="22"/>
              </w:rPr>
              <w:t>$0.513</w:t>
            </w:r>
          </w:p>
        </w:tc>
        <w:tc>
          <w:tcPr>
            <w:tcW w:type="dxa" w:w="1440"/>
          </w:tcPr>
          <w:p>
            <w:r>
              <w:rPr>
                <w:rFonts w:ascii="Calibri" w:hAnsi="Calibri"/>
                <w:sz w:val="22"/>
              </w:rPr>
              <w:t>$0.490</w:t>
            </w:r>
          </w:p>
        </w:tc>
        <w:tc>
          <w:tcPr>
            <w:tcW w:type="dxa" w:w="1440"/>
          </w:tcPr>
          <w:p>
            <w:r>
              <w:rPr>
                <w:rFonts w:ascii="Calibri" w:hAnsi="Calibri"/>
                <w:b/>
                <w:color w:val="30A46C"/>
                <w:sz w:val="22"/>
              </w:rPr>
              <w:t>+4.7%</w:t>
            </w:r>
          </w:p>
        </w:tc>
        <w:tc>
          <w:tcPr>
            <w:tcW w:type="dxa" w:w="1440"/>
          </w:tcPr>
          <w:p>
            <w:r>
              <w:rPr>
                <w:rFonts w:ascii="Calibri" w:hAnsi="Calibri"/>
                <w:b/>
                <w:color w:val="30A46C"/>
                <w:sz w:val="22"/>
              </w:rPr>
              <w:t>Beat</w:t>
            </w:r>
          </w:p>
        </w:tc>
      </w:tr>
      <w:tr>
        <w:tc>
          <w:tcPr>
            <w:tcW w:type="dxa" w:w="1440"/>
          </w:tcPr>
          <w:p>
            <w:r>
              <w:rPr>
                <w:rFonts w:ascii="Calibri" w:hAnsi="Calibri"/>
                <w:sz w:val="22"/>
              </w:rPr>
              <w:t>Q1 2025</w:t>
            </w:r>
          </w:p>
        </w:tc>
        <w:tc>
          <w:tcPr>
            <w:tcW w:type="dxa" w:w="1440"/>
          </w:tcPr>
          <w:p>
            <w:r>
              <w:rPr>
                <w:rFonts w:ascii="Calibri" w:hAnsi="Calibri"/>
                <w:sz w:val="22"/>
              </w:rPr>
              <w:t>Free Cash Flow</w:t>
            </w:r>
          </w:p>
        </w:tc>
        <w:tc>
          <w:tcPr>
            <w:tcW w:type="dxa" w:w="1440"/>
          </w:tcPr>
          <w:p>
            <w:r>
              <w:rPr>
                <w:rFonts w:ascii="Calibri" w:hAnsi="Calibri"/>
                <w:sz w:val="22"/>
              </w:rPr>
              <w:t>$3.146B</w:t>
            </w:r>
          </w:p>
        </w:tc>
        <w:tc>
          <w:tcPr>
            <w:tcW w:type="dxa" w:w="1440"/>
          </w:tcPr>
          <w:p>
            <w:r>
              <w:rPr>
                <w:rFonts w:ascii="Calibri" w:hAnsi="Calibri"/>
                <w:sz w:val="22"/>
              </w:rPr>
              <w:t>$2.979B</w:t>
            </w:r>
          </w:p>
        </w:tc>
        <w:tc>
          <w:tcPr>
            <w:tcW w:type="dxa" w:w="1440"/>
          </w:tcPr>
          <w:p>
            <w:r>
              <w:rPr>
                <w:rFonts w:ascii="Calibri" w:hAnsi="Calibri"/>
                <w:b/>
                <w:color w:val="30A46C"/>
                <w:sz w:val="22"/>
              </w:rPr>
              <w:t>+5.6%</w:t>
            </w:r>
          </w:p>
        </w:tc>
        <w:tc>
          <w:tcPr>
            <w:tcW w:type="dxa" w:w="1440"/>
          </w:tcPr>
          <w:p>
            <w:r>
              <w:rPr>
                <w:rFonts w:ascii="Calibri" w:hAnsi="Calibri"/>
                <w:b/>
                <w:color w:val="30A46C"/>
                <w:sz w:val="22"/>
              </w:rPr>
              <w:t>Beat</w:t>
            </w:r>
          </w:p>
        </w:tc>
      </w:tr>
      <w:tr>
        <w:tc>
          <w:tcPr>
            <w:tcW w:type="dxa" w:w="1440"/>
          </w:tcPr>
          <w:p>
            <w:r>
              <w:rPr>
                <w:rFonts w:ascii="Calibri" w:hAnsi="Calibri"/>
                <w:sz w:val="22"/>
              </w:rPr>
              <w:t>Q4 2024</w:t>
            </w:r>
          </w:p>
        </w:tc>
        <w:tc>
          <w:tcPr>
            <w:tcW w:type="dxa" w:w="1440"/>
          </w:tcPr>
          <w:p>
            <w:r>
              <w:rPr>
                <w:rFonts w:ascii="Calibri" w:hAnsi="Calibri"/>
                <w:sz w:val="22"/>
              </w:rPr>
              <w:t>Operating EPS</w:t>
            </w:r>
          </w:p>
        </w:tc>
        <w:tc>
          <w:tcPr>
            <w:tcW w:type="dxa" w:w="1440"/>
          </w:tcPr>
          <w:p>
            <w:r>
              <w:rPr>
                <w:rFonts w:ascii="Calibri" w:hAnsi="Calibri"/>
                <w:sz w:val="22"/>
              </w:rPr>
              <w:t>$0.430</w:t>
            </w:r>
          </w:p>
        </w:tc>
        <w:tc>
          <w:tcPr>
            <w:tcW w:type="dxa" w:w="1440"/>
          </w:tcPr>
          <w:p>
            <w:r>
              <w:rPr>
                <w:rFonts w:ascii="Calibri" w:hAnsi="Calibri"/>
                <w:sz w:val="22"/>
              </w:rPr>
              <w:t>$0.460</w:t>
            </w:r>
          </w:p>
        </w:tc>
        <w:tc>
          <w:tcPr>
            <w:tcW w:type="dxa" w:w="1440"/>
          </w:tcPr>
          <w:p>
            <w:r>
              <w:rPr>
                <w:rFonts w:ascii="Calibri" w:hAnsi="Calibri"/>
                <w:b/>
                <w:color w:val="E5484D"/>
                <w:sz w:val="22"/>
              </w:rPr>
              <w:t>-6.5%</w:t>
            </w:r>
          </w:p>
        </w:tc>
        <w:tc>
          <w:tcPr>
            <w:tcW w:type="dxa" w:w="1440"/>
          </w:tcPr>
          <w:p>
            <w:r>
              <w:rPr>
                <w:rFonts w:ascii="Calibri" w:hAnsi="Calibri"/>
                <w:b/>
                <w:color w:val="E5484D"/>
                <w:sz w:val="22"/>
              </w:rPr>
              <w:t>Miss</w:t>
            </w:r>
          </w:p>
        </w:tc>
      </w:tr>
      <w:tr>
        <w:tc>
          <w:tcPr>
            <w:tcW w:type="dxa" w:w="1440"/>
          </w:tcPr>
          <w:p>
            <w:r>
              <w:rPr>
                <w:rFonts w:ascii="Calibri" w:hAnsi="Calibri"/>
                <w:sz w:val="22"/>
              </w:rPr>
              <w:t>Q4 2024</w:t>
            </w:r>
          </w:p>
        </w:tc>
        <w:tc>
          <w:tcPr>
            <w:tcW w:type="dxa" w:w="1440"/>
          </w:tcPr>
          <w:p>
            <w:r>
              <w:rPr>
                <w:rFonts w:ascii="Calibri" w:hAnsi="Calibri"/>
                <w:sz w:val="22"/>
              </w:rPr>
              <w:t>Free Cash Flow</w:t>
            </w:r>
          </w:p>
        </w:tc>
        <w:tc>
          <w:tcPr>
            <w:tcW w:type="dxa" w:w="1440"/>
          </w:tcPr>
          <w:p>
            <w:r>
              <w:rPr>
                <w:rFonts w:ascii="Calibri" w:hAnsi="Calibri"/>
                <w:sz w:val="22"/>
              </w:rPr>
              <w:t>$4.014B</w:t>
            </w:r>
          </w:p>
        </w:tc>
        <w:tc>
          <w:tcPr>
            <w:tcW w:type="dxa" w:w="1440"/>
          </w:tcPr>
          <w:p>
            <w:r>
              <w:rPr>
                <w:rFonts w:ascii="Calibri" w:hAnsi="Calibri"/>
                <w:sz w:val="22"/>
              </w:rPr>
              <w:t>$3.981B</w:t>
            </w:r>
          </w:p>
        </w:tc>
        <w:tc>
          <w:tcPr>
            <w:tcW w:type="dxa" w:w="1440"/>
          </w:tcPr>
          <w:p>
            <w:r>
              <w:rPr>
                <w:rFonts w:ascii="Calibri" w:hAnsi="Calibri"/>
                <w:b/>
                <w:color w:val="30A46C"/>
                <w:sz w:val="22"/>
              </w:rPr>
              <w:t>+0.8%</w:t>
            </w:r>
          </w:p>
        </w:tc>
        <w:tc>
          <w:tcPr>
            <w:tcW w:type="dxa" w:w="1440"/>
          </w:tcPr>
          <w:p>
            <w:r>
              <w:rPr>
                <w:rFonts w:ascii="Calibri" w:hAnsi="Calibri"/>
                <w:b/>
                <w:color w:val="30A46C"/>
                <w:sz w:val="22"/>
              </w:rPr>
              <w:t>Beat</w:t>
            </w:r>
          </w:p>
        </w:tc>
      </w:tr>
      <w:tr>
        <w:tc>
          <w:tcPr>
            <w:tcW w:type="dxa" w:w="1440"/>
          </w:tcPr>
          <w:p>
            <w:r>
              <w:rPr>
                <w:rFonts w:ascii="Calibri" w:hAnsi="Calibri"/>
                <w:sz w:val="22"/>
              </w:rPr>
              <w:t>Q3 2024</w:t>
            </w:r>
          </w:p>
        </w:tc>
        <w:tc>
          <w:tcPr>
            <w:tcW w:type="dxa" w:w="1440"/>
          </w:tcPr>
          <w:p>
            <w:r>
              <w:rPr>
                <w:rFonts w:ascii="Calibri" w:hAnsi="Calibri"/>
                <w:sz w:val="22"/>
              </w:rPr>
              <w:t>Operating EPS</w:t>
            </w:r>
          </w:p>
        </w:tc>
        <w:tc>
          <w:tcPr>
            <w:tcW w:type="dxa" w:w="1440"/>
          </w:tcPr>
          <w:p>
            <w:r>
              <w:rPr>
                <w:rFonts w:ascii="Calibri" w:hAnsi="Calibri"/>
                <w:sz w:val="22"/>
              </w:rPr>
              <w:t>$0.540</w:t>
            </w:r>
          </w:p>
        </w:tc>
        <w:tc>
          <w:tcPr>
            <w:tcW w:type="dxa" w:w="1440"/>
          </w:tcPr>
          <w:p>
            <w:r>
              <w:rPr>
                <w:rFonts w:ascii="Calibri" w:hAnsi="Calibri"/>
                <w:sz w:val="22"/>
              </w:rPr>
              <w:t>$0.576</w:t>
            </w:r>
          </w:p>
        </w:tc>
        <w:tc>
          <w:tcPr>
            <w:tcW w:type="dxa" w:w="1440"/>
          </w:tcPr>
          <w:p>
            <w:r>
              <w:rPr>
                <w:rFonts w:ascii="Calibri" w:hAnsi="Calibri"/>
                <w:b/>
                <w:color w:val="E5484D"/>
                <w:sz w:val="22"/>
              </w:rPr>
              <w:t>-6.3%</w:t>
            </w:r>
          </w:p>
        </w:tc>
        <w:tc>
          <w:tcPr>
            <w:tcW w:type="dxa" w:w="1440"/>
          </w:tcPr>
          <w:p>
            <w:r>
              <w:rPr>
                <w:rFonts w:ascii="Calibri" w:hAnsi="Calibri"/>
                <w:b/>
                <w:color w:val="E5484D"/>
                <w:sz w:val="22"/>
              </w:rPr>
              <w:t>Miss</w:t>
            </w:r>
          </w:p>
        </w:tc>
      </w:tr>
      <w:tr>
        <w:tc>
          <w:tcPr>
            <w:tcW w:type="dxa" w:w="1440"/>
          </w:tcPr>
          <w:p>
            <w:r>
              <w:rPr>
                <w:rFonts w:ascii="Calibri" w:hAnsi="Calibri"/>
                <w:sz w:val="22"/>
              </w:rPr>
              <w:t>Q3 2024</w:t>
            </w:r>
          </w:p>
        </w:tc>
        <w:tc>
          <w:tcPr>
            <w:tcW w:type="dxa" w:w="1440"/>
          </w:tcPr>
          <w:p>
            <w:r>
              <w:rPr>
                <w:rFonts w:ascii="Calibri" w:hAnsi="Calibri"/>
                <w:sz w:val="22"/>
              </w:rPr>
              <w:t>Free Cash Flow</w:t>
            </w:r>
          </w:p>
        </w:tc>
        <w:tc>
          <w:tcPr>
            <w:tcW w:type="dxa" w:w="1440"/>
          </w:tcPr>
          <w:p>
            <w:r>
              <w:rPr>
                <w:rFonts w:ascii="Calibri" w:hAnsi="Calibri"/>
                <w:sz w:val="22"/>
              </w:rPr>
              <w:t>$4.604B</w:t>
            </w:r>
          </w:p>
        </w:tc>
        <w:tc>
          <w:tcPr>
            <w:tcW w:type="dxa" w:w="1440"/>
          </w:tcPr>
          <w:p>
            <w:r>
              <w:rPr>
                <w:rFonts w:ascii="Calibri" w:hAnsi="Calibri"/>
                <w:sz w:val="22"/>
              </w:rPr>
              <w:t>N/A — not in VA for this period</w:t>
            </w:r>
          </w:p>
        </w:tc>
        <w:tc>
          <w:tcPr>
            <w:tcW w:type="dxa" w:w="1440"/>
          </w:tcPr>
          <w:p>
            <w:r>
              <w:rPr>
                <w:rFonts w:ascii="Calibri" w:hAnsi="Calibri"/>
                <w:sz w:val="22"/>
              </w:rPr>
              <w:t>N/A</w:t>
            </w:r>
          </w:p>
        </w:tc>
        <w:tc>
          <w:tcPr>
            <w:tcW w:type="dxa" w:w="1440"/>
          </w:tcPr>
          <w:p>
            <w:r>
              <w:rPr>
                <w:rFonts w:ascii="Calibri" w:hAnsi="Calibri"/>
                <w:sz w:val="22"/>
              </w:rPr>
              <w:t>N/A</w:t>
            </w:r>
          </w:p>
        </w:tc>
      </w:tr>
    </w:tbl>
    <w:p>
      <w:r>
        <w:rPr>
          <w:rFonts w:ascii="Calibri" w:hAnsi="Calibri"/>
          <w:b/>
          <w:color w:val="525866"/>
          <w:sz w:val="22"/>
        </w:rPr>
        <w:t xml:space="preserve">Pattern: </w:t>
      </w:r>
      <w:r>
        <w:rPr>
          <w:rFonts w:ascii="Calibri" w:hAnsi="Calibri"/>
          <w:color w:val="525866"/>
          <w:sz w:val="22"/>
        </w:rPr>
        <w:t>AT&amp;T has beaten Operating EPS consensus in 5 of the last 6 quarters (with two misses in Q3 and Q4 2024 when the bar was set too high), and has beaten FCF in 6 of the last 7 quarters with an average positive surprise of ~3–5% — a consistent pattern of modest, clean beats that has re-established credibility with the Street.</w:t>
      </w:r>
    </w:p>
    <w:p>
      <w:r>
        <w:rPr>
          <w:rFonts w:ascii="Calibri" w:hAnsi="Calibri"/>
          <w:color w:val="525866"/>
          <w:sz w:val="22"/>
        </w:rPr>
        <w:t>Source: Visible Alpha Consensus and Actuals Data.</w:t>
      </w:r>
    </w:p>
    <w:p>
      <w:r>
        <w:br w:type="page"/>
      </w:r>
    </w:p>
    <w:p>
      <w:pPr>
        <w:pStyle w:val="Heading2"/>
      </w:pPr>
      <w:r>
        <w:rPr>
          <w:rFonts w:ascii="Calibri" w:hAnsi="Calibri"/>
          <w:b/>
          <w:color w:val="3B4259"/>
          <w:sz w:val="28"/>
        </w:rPr>
        <w:t>3. Guidance &amp; Commentary Evolution</w:t>
      </w:r>
    </w:p>
    <w:p>
      <w:r>
        <w:rPr>
          <w:rFonts w:ascii="Calibri" w:hAnsi="Calibri"/>
          <w:b/>
          <w:color w:val="525866"/>
          <w:sz w:val="22"/>
        </w:rPr>
        <w:t xml:space="preserve">Key Takeaway: </w:t>
      </w:r>
      <w:r>
        <w:rPr>
          <w:rFonts w:ascii="Calibri" w:hAnsi="Calibri"/>
          <w:color w:val="525866"/>
          <w:sz w:val="22"/>
        </w:rPr>
        <w:t>Guidance has been fully reiterated since the Q1 2026 print with no changes to any financial metric; the only incremental update was a specific fiber passings target of 40 million by year-end 2026 added at the June 9 Mizuho conference, and management tone remains confidently on-plan.</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Metric</w:t>
            </w:r>
          </w:p>
        </w:tc>
        <w:tc>
          <w:tcPr>
            <w:tcW w:type="dxa" w:w="1728"/>
            <w:shd w:val="clear" w:color="auto" w:fill="3B4259"/>
          </w:tcPr>
          <w:p>
            <w:r>
              <w:rPr>
                <w:rFonts w:ascii="Calibri" w:hAnsi="Calibri"/>
                <w:b/>
                <w:color w:val="FFFFFF"/>
                <w:sz w:val="22"/>
              </w:rPr>
              <w:t>Initial Guidance (Q1 2026 Earnings — Apr 22, 2026)</w:t>
            </w:r>
          </w:p>
        </w:tc>
        <w:tc>
          <w:tcPr>
            <w:tcW w:type="dxa" w:w="1728"/>
            <w:shd w:val="clear" w:color="auto" w:fill="3B4259"/>
          </w:tcPr>
          <w:p>
            <w:r>
              <w:rPr>
                <w:rFonts w:ascii="Calibri" w:hAnsi="Calibri"/>
                <w:b/>
                <w:color w:val="FFFFFF"/>
                <w:sz w:val="22"/>
              </w:rPr>
              <w:t>Revised Guidance</w:t>
            </w:r>
          </w:p>
        </w:tc>
        <w:tc>
          <w:tcPr>
            <w:tcW w:type="dxa" w:w="1728"/>
            <w:shd w:val="clear" w:color="auto" w:fill="3B4259"/>
          </w:tcPr>
          <w:p>
            <w:r>
              <w:rPr>
                <w:rFonts w:ascii="Calibri" w:hAnsi="Calibri"/>
                <w:b/>
                <w:color w:val="FFFFFF"/>
                <w:sz w:val="22"/>
              </w:rPr>
              <w:t>Current Consensus</w:t>
            </w:r>
          </w:p>
        </w:tc>
        <w:tc>
          <w:tcPr>
            <w:tcW w:type="dxa" w:w="1728"/>
            <w:shd w:val="clear" w:color="auto" w:fill="3B4259"/>
          </w:tcPr>
          <w:p>
            <w:r>
              <w:rPr>
                <w:rFonts w:ascii="Calibri" w:hAnsi="Calibri"/>
                <w:b/>
                <w:color w:val="FFFFFF"/>
                <w:sz w:val="22"/>
              </w:rPr>
              <w:t>Note</w:t>
            </w:r>
          </w:p>
        </w:tc>
      </w:tr>
      <w:tr>
        <w:tc>
          <w:tcPr>
            <w:tcW w:type="dxa" w:w="1728"/>
          </w:tcPr>
          <w:p>
            <w:r>
              <w:rPr>
                <w:rFonts w:ascii="Calibri" w:hAnsi="Calibri"/>
                <w:sz w:val="22"/>
              </w:rPr>
              <w:t>FY 2026 Adjusted EPS</w:t>
            </w:r>
          </w:p>
        </w:tc>
        <w:tc>
          <w:tcPr>
            <w:tcW w:type="dxa" w:w="1728"/>
          </w:tcPr>
          <w:p>
            <w:r>
              <w:rPr>
                <w:rFonts w:ascii="Calibri" w:hAnsi="Calibri"/>
                <w:sz w:val="22"/>
              </w:rPr>
              <w:t>$2.25–$2.35</w:t>
            </w:r>
          </w:p>
        </w:tc>
        <w:tc>
          <w:tcPr>
            <w:tcW w:type="dxa" w:w="1728"/>
          </w:tcPr>
          <w:p>
            <w:r>
              <w:rPr>
                <w:rFonts w:ascii="Calibri" w:hAnsi="Calibri"/>
                <w:sz w:val="22"/>
              </w:rPr>
              <w:t>—</w:t>
            </w:r>
          </w:p>
        </w:tc>
        <w:tc>
          <w:tcPr>
            <w:tcW w:type="dxa" w:w="1728"/>
          </w:tcPr>
          <w:p>
            <w:r>
              <w:rPr>
                <w:rFonts w:ascii="Calibri" w:hAnsi="Calibri"/>
                <w:sz w:val="22"/>
              </w:rPr>
              <w:t>$2.322</w:t>
            </w:r>
          </w:p>
        </w:tc>
        <w:tc>
          <w:tcPr>
            <w:tcW w:type="dxa" w:w="1728"/>
          </w:tcPr>
          <w:p>
            <w:r>
              <w:rPr>
                <w:rFonts w:ascii="Calibri" w:hAnsi="Calibri"/>
                <w:sz w:val="22"/>
              </w:rPr>
              <w:t>Reiterated at Mizuho June 9, 2026; no change. Consensus at midpoint of range.</w:t>
            </w:r>
          </w:p>
        </w:tc>
      </w:tr>
      <w:tr>
        <w:tc>
          <w:tcPr>
            <w:tcW w:type="dxa" w:w="1728"/>
          </w:tcPr>
          <w:p>
            <w:r>
              <w:rPr>
                <w:rFonts w:ascii="Calibri" w:hAnsi="Calibri"/>
                <w:sz w:val="22"/>
              </w:rPr>
              <w:t>FY 2026 Free Cash Flow</w:t>
            </w:r>
          </w:p>
        </w:tc>
        <w:tc>
          <w:tcPr>
            <w:tcW w:type="dxa" w:w="1728"/>
          </w:tcPr>
          <w:p>
            <w:r>
              <w:rPr>
                <w:rFonts w:ascii="Calibri" w:hAnsi="Calibri"/>
                <w:sz w:val="22"/>
              </w:rPr>
              <w:t>$18B+</w:t>
            </w:r>
          </w:p>
        </w:tc>
        <w:tc>
          <w:tcPr>
            <w:tcW w:type="dxa" w:w="1728"/>
          </w:tcPr>
          <w:p>
            <w:r>
              <w:rPr>
                <w:rFonts w:ascii="Calibri" w:hAnsi="Calibri"/>
                <w:sz w:val="22"/>
              </w:rPr>
              <w:t>—</w:t>
            </w:r>
          </w:p>
        </w:tc>
        <w:tc>
          <w:tcPr>
            <w:tcW w:type="dxa" w:w="1728"/>
          </w:tcPr>
          <w:p>
            <w:r>
              <w:rPr>
                <w:rFonts w:ascii="Calibri" w:hAnsi="Calibri"/>
                <w:sz w:val="22"/>
              </w:rPr>
              <w:t>$18.24B</w:t>
            </w:r>
          </w:p>
        </w:tc>
        <w:tc>
          <w:tcPr>
            <w:tcW w:type="dxa" w:w="1728"/>
          </w:tcPr>
          <w:p>
            <w:r>
              <w:rPr>
                <w:rFonts w:ascii="Calibri" w:hAnsi="Calibri"/>
                <w:sz w:val="22"/>
              </w:rPr>
              <w:t>Reiterated at Mizuho June 9, 2026; no change. Consensus slightly above floor.</w:t>
            </w:r>
          </w:p>
        </w:tc>
      </w:tr>
      <w:tr>
        <w:tc>
          <w:tcPr>
            <w:tcW w:type="dxa" w:w="1728"/>
          </w:tcPr>
          <w:p>
            <w:r>
              <w:rPr>
                <w:rFonts w:ascii="Calibri" w:hAnsi="Calibri"/>
                <w:sz w:val="22"/>
              </w:rPr>
              <w:t>FY 2026 Adjusted EBITDA Growth</w:t>
            </w:r>
          </w:p>
        </w:tc>
        <w:tc>
          <w:tcPr>
            <w:tcW w:type="dxa" w:w="1728"/>
          </w:tcPr>
          <w:p>
            <w:r>
              <w:rPr>
                <w:rFonts w:ascii="Calibri" w:hAnsi="Calibri"/>
                <w:sz w:val="22"/>
              </w:rPr>
              <w:t>+3%–4%</w:t>
            </w:r>
          </w:p>
        </w:tc>
        <w:tc>
          <w:tcPr>
            <w:tcW w:type="dxa" w:w="1728"/>
          </w:tcPr>
          <w:p>
            <w:r>
              <w:rPr>
                <w:rFonts w:ascii="Calibri" w:hAnsi="Calibri"/>
                <w:sz w:val="22"/>
              </w:rPr>
              <w:t>—</w:t>
            </w:r>
          </w:p>
        </w:tc>
        <w:tc>
          <w:tcPr>
            <w:tcW w:type="dxa" w:w="1728"/>
          </w:tcPr>
          <w:p>
            <w:r>
              <w:rPr>
                <w:rFonts w:ascii="Calibri" w:hAnsi="Calibri"/>
                <w:sz w:val="22"/>
              </w:rPr>
              <w:t>$47.80B (implies ~+3.5% growth)</w:t>
            </w:r>
          </w:p>
        </w:tc>
        <w:tc>
          <w:tcPr>
            <w:tcW w:type="dxa" w:w="1728"/>
          </w:tcPr>
          <w:p>
            <w:r>
              <w:rPr>
                <w:rFonts w:ascii="Calibri" w:hAnsi="Calibri"/>
                <w:sz w:val="22"/>
              </w:rPr>
              <w:t>Reiterated at Mizuho June 9, 2026; no change. Consensus tracking midpoint.</w:t>
            </w:r>
          </w:p>
        </w:tc>
      </w:tr>
      <w:tr>
        <w:tc>
          <w:tcPr>
            <w:tcW w:type="dxa" w:w="1728"/>
          </w:tcPr>
          <w:p>
            <w:r>
              <w:rPr>
                <w:rFonts w:ascii="Calibri" w:hAnsi="Calibri"/>
                <w:sz w:val="22"/>
              </w:rPr>
              <w:t>Q2 2026 Free Cash Flow</w:t>
            </w:r>
          </w:p>
        </w:tc>
        <w:tc>
          <w:tcPr>
            <w:tcW w:type="dxa" w:w="1728"/>
          </w:tcPr>
          <w:p>
            <w:r>
              <w:rPr>
                <w:rFonts w:ascii="Calibri" w:hAnsi="Calibri"/>
                <w:sz w:val="22"/>
              </w:rPr>
              <w:t>$4.0–$4.5B</w:t>
            </w:r>
          </w:p>
        </w:tc>
        <w:tc>
          <w:tcPr>
            <w:tcW w:type="dxa" w:w="1728"/>
          </w:tcPr>
          <w:p>
            <w:r>
              <w:rPr>
                <w:rFonts w:ascii="Calibri" w:hAnsi="Calibri"/>
                <w:sz w:val="22"/>
              </w:rPr>
              <w:t>—</w:t>
            </w:r>
          </w:p>
        </w:tc>
        <w:tc>
          <w:tcPr>
            <w:tcW w:type="dxa" w:w="1728"/>
          </w:tcPr>
          <w:p>
            <w:r>
              <w:rPr>
                <w:rFonts w:ascii="Calibri" w:hAnsi="Calibri"/>
                <w:sz w:val="22"/>
              </w:rPr>
              <w:t>$4.426B</w:t>
            </w:r>
          </w:p>
        </w:tc>
        <w:tc>
          <w:tcPr>
            <w:tcW w:type="dxa" w:w="1728"/>
          </w:tcPr>
          <w:p>
            <w:r>
              <w:rPr>
                <w:rFonts w:ascii="Calibri" w:hAnsi="Calibri"/>
                <w:sz w:val="22"/>
              </w:rPr>
              <w:t>Specific Q2 range given on Q1 call; consensus at midpoint.</w:t>
            </w:r>
          </w:p>
        </w:tc>
      </w:tr>
      <w:tr>
        <w:tc>
          <w:tcPr>
            <w:tcW w:type="dxa" w:w="1728"/>
          </w:tcPr>
          <w:p>
            <w:r>
              <w:rPr>
                <w:rFonts w:ascii="Calibri" w:hAnsi="Calibri"/>
                <w:sz w:val="22"/>
              </w:rPr>
              <w:t>Q2 2026 Adjusted EBITDA</w:t>
            </w:r>
          </w:p>
        </w:tc>
        <w:tc>
          <w:tcPr>
            <w:tcW w:type="dxa" w:w="1728"/>
          </w:tcPr>
          <w:p>
            <w:r>
              <w:rPr>
                <w:rFonts w:ascii="Calibri" w:hAnsi="Calibri"/>
                <w:sz w:val="22"/>
              </w:rPr>
              <w:t>“Improved growth vs Q1” (qualitative)</w:t>
            </w:r>
          </w:p>
        </w:tc>
        <w:tc>
          <w:tcPr>
            <w:tcW w:type="dxa" w:w="1728"/>
          </w:tcPr>
          <w:p>
            <w:r>
              <w:rPr>
                <w:rFonts w:ascii="Calibri" w:hAnsi="Calibri"/>
                <w:sz w:val="22"/>
              </w:rPr>
              <w:t>—</w:t>
            </w:r>
          </w:p>
        </w:tc>
        <w:tc>
          <w:tcPr>
            <w:tcW w:type="dxa" w:w="1728"/>
          </w:tcPr>
          <w:p>
            <w:r>
              <w:rPr>
                <w:rFonts w:ascii="Calibri" w:hAnsi="Calibri"/>
                <w:sz w:val="22"/>
              </w:rPr>
              <w:t>$12.073B</w:t>
            </w:r>
          </w:p>
        </w:tc>
        <w:tc>
          <w:tcPr>
            <w:tcW w:type="dxa" w:w="1728"/>
          </w:tcPr>
          <w:p>
            <w:r>
              <w:rPr>
                <w:rFonts w:ascii="Calibri" w:hAnsi="Calibri"/>
                <w:sz w:val="22"/>
              </w:rPr>
              <w:t>Mgmt guided Q2 EBITDA growth to improve as comparisons normalize and pricing actions take effect.</w:t>
            </w:r>
          </w:p>
        </w:tc>
      </w:tr>
      <w:tr>
        <w:tc>
          <w:tcPr>
            <w:tcW w:type="dxa" w:w="1728"/>
          </w:tcPr>
          <w:p>
            <w:r>
              <w:rPr>
                <w:rFonts w:ascii="Calibri" w:hAnsi="Calibri"/>
                <w:sz w:val="22"/>
              </w:rPr>
              <w:t>FY 2026 Wireless Service Revenue Growth</w:t>
            </w:r>
          </w:p>
        </w:tc>
        <w:tc>
          <w:tcPr>
            <w:tcW w:type="dxa" w:w="1728"/>
          </w:tcPr>
          <w:p>
            <w:r>
              <w:rPr>
                <w:rFonts w:ascii="Calibri" w:hAnsi="Calibri"/>
                <w:sz w:val="22"/>
              </w:rPr>
              <w:t>+2%–3% annually</w:t>
            </w:r>
          </w:p>
        </w:tc>
        <w:tc>
          <w:tcPr>
            <w:tcW w:type="dxa" w:w="1728"/>
          </w:tcPr>
          <w:p>
            <w:r>
              <w:rPr>
                <w:rFonts w:ascii="Calibri" w:hAnsi="Calibri"/>
                <w:sz w:val="22"/>
              </w:rPr>
              <w:t>—</w:t>
            </w:r>
          </w:p>
        </w:tc>
        <w:tc>
          <w:tcPr>
            <w:tcW w:type="dxa" w:w="1728"/>
          </w:tcPr>
          <w:p>
            <w:r>
              <w:rPr>
                <w:rFonts w:ascii="Calibri" w:hAnsi="Calibri"/>
                <w:sz w:val="22"/>
              </w:rPr>
              <w:t>Tracking guidance</w:t>
            </w:r>
          </w:p>
        </w:tc>
        <w:tc>
          <w:tcPr>
            <w:tcW w:type="dxa" w:w="1728"/>
          </w:tcPr>
          <w:p>
            <w:r>
              <w:rPr>
                <w:rFonts w:ascii="Calibri" w:hAnsi="Calibri"/>
                <w:sz w:val="22"/>
              </w:rPr>
              <w:t>Q2 WSR growth expected to improve from Q1 level; pricing actions effective in Q2.</w:t>
            </w:r>
          </w:p>
        </w:tc>
      </w:tr>
      <w:tr>
        <w:tc>
          <w:tcPr>
            <w:tcW w:type="dxa" w:w="1728"/>
          </w:tcPr>
          <w:p>
            <w:r>
              <w:rPr>
                <w:rFonts w:ascii="Calibri" w:hAnsi="Calibri"/>
                <w:sz w:val="22"/>
              </w:rPr>
              <w:t>FY 2026 Fiber Passings</w:t>
            </w:r>
          </w:p>
        </w:tc>
        <w:tc>
          <w:tcPr>
            <w:tcW w:type="dxa" w:w="1728"/>
          </w:tcPr>
          <w:p>
            <w:r>
              <w:rPr>
                <w:rFonts w:ascii="Calibri" w:hAnsi="Calibri"/>
                <w:sz w:val="22"/>
              </w:rPr>
              <w:t>+~8M locations (incl. 4M+ from Lumen)</w:t>
            </w:r>
          </w:p>
        </w:tc>
        <w:tc>
          <w:tcPr>
            <w:tcW w:type="dxa" w:w="1728"/>
          </w:tcPr>
          <w:p>
            <w:r>
              <w:rPr>
                <w:rFonts w:ascii="Calibri" w:hAnsi="Calibri"/>
                <w:sz w:val="22"/>
              </w:rPr>
              <w:t>~40M total by year-end (added at Mizuho June 9)</w:t>
            </w:r>
          </w:p>
        </w:tc>
        <w:tc>
          <w:tcPr>
            <w:tcW w:type="dxa" w:w="1728"/>
          </w:tcPr>
          <w:p>
            <w:r>
              <w:rPr>
                <w:rFonts w:ascii="Calibri" w:hAnsi="Calibri"/>
                <w:sz w:val="22"/>
              </w:rPr>
              <w:t>N/A — not tracked in VA consensus</w:t>
            </w:r>
          </w:p>
        </w:tc>
        <w:tc>
          <w:tcPr>
            <w:tcW w:type="dxa" w:w="1728"/>
          </w:tcPr>
          <w:p>
            <w:r>
              <w:rPr>
                <w:rFonts w:ascii="Calibri" w:hAnsi="Calibri"/>
                <w:sz w:val="22"/>
              </w:rPr>
              <w:t>↑ Incremental specificity added at Mizuho June 9, 2026; more confident on build execution.</w:t>
            </w:r>
          </w:p>
        </w:tc>
      </w:tr>
      <w:tr>
        <w:tc>
          <w:tcPr>
            <w:tcW w:type="dxa" w:w="1728"/>
          </w:tcPr>
          <w:p>
            <w:r>
              <w:rPr>
                <w:rFonts w:ascii="Calibri" w:hAnsi="Calibri"/>
                <w:sz w:val="22"/>
              </w:rPr>
              <w:t>Advanced Home Internet Net Adds (Q2)</w:t>
            </w:r>
          </w:p>
        </w:tc>
        <w:tc>
          <w:tcPr>
            <w:tcW w:type="dxa" w:w="1728"/>
          </w:tcPr>
          <w:p>
            <w:r>
              <w:rPr>
                <w:rFonts w:ascii="Calibri" w:hAnsi="Calibri"/>
                <w:sz w:val="22"/>
              </w:rPr>
              <w:t>Acceleration vs Q1 (&gt;584K combined)</w:t>
            </w:r>
          </w:p>
        </w:tc>
        <w:tc>
          <w:tcPr>
            <w:tcW w:type="dxa" w:w="1728"/>
          </w:tcPr>
          <w:p>
            <w:r>
              <w:rPr>
                <w:rFonts w:ascii="Calibri" w:hAnsi="Calibri"/>
                <w:sz w:val="22"/>
              </w:rPr>
              <w:t>—</w:t>
            </w:r>
          </w:p>
        </w:tc>
        <w:tc>
          <w:tcPr>
            <w:tcW w:type="dxa" w:w="1728"/>
          </w:tcPr>
          <w:p>
            <w:r>
              <w:rPr>
                <w:rFonts w:ascii="Calibri" w:hAnsi="Calibri"/>
                <w:sz w:val="22"/>
              </w:rPr>
              <w:t>~523K (consensus below mgmt signal)</w:t>
            </w:r>
          </w:p>
        </w:tc>
        <w:tc>
          <w:tcPr>
            <w:tcW w:type="dxa" w:w="1728"/>
          </w:tcPr>
          <w:p>
            <w:r>
              <w:rPr>
                <w:rFonts w:ascii="Calibri" w:hAnsi="Calibri"/>
                <w:sz w:val="22"/>
              </w:rPr>
              <w:t>Mgmt explicitly guided Q2 acceleration at Mizuho June 9; consensus appears conservative.</w:t>
            </w:r>
          </w:p>
        </w:tc>
      </w:tr>
      <w:tr>
        <w:tc>
          <w:tcPr>
            <w:tcW w:type="dxa" w:w="1728"/>
          </w:tcPr>
          <w:p>
            <w:r>
              <w:rPr>
                <w:rFonts w:ascii="Calibri" w:hAnsi="Calibri"/>
                <w:sz w:val="22"/>
              </w:rPr>
              <w:t>FY 2026 Share Repurchases</w:t>
            </w:r>
          </w:p>
        </w:tc>
        <w:tc>
          <w:tcPr>
            <w:tcW w:type="dxa" w:w="1728"/>
          </w:tcPr>
          <w:p>
            <w:r>
              <w:rPr>
                <w:rFonts w:ascii="Calibri" w:hAnsi="Calibri"/>
                <w:sz w:val="22"/>
              </w:rPr>
              <w:t>~$8B</w:t>
            </w:r>
          </w:p>
        </w:tc>
        <w:tc>
          <w:tcPr>
            <w:tcW w:type="dxa" w:w="1728"/>
          </w:tcPr>
          <w:p>
            <w:r>
              <w:rPr>
                <w:rFonts w:ascii="Calibri" w:hAnsi="Calibri"/>
                <w:sz w:val="22"/>
              </w:rPr>
              <w:t>—</w:t>
            </w:r>
          </w:p>
        </w:tc>
        <w:tc>
          <w:tcPr>
            <w:tcW w:type="dxa" w:w="1728"/>
          </w:tcPr>
          <w:p>
            <w:r>
              <w:rPr>
                <w:rFonts w:ascii="Calibri" w:hAnsi="Calibri"/>
                <w:sz w:val="22"/>
              </w:rPr>
              <w:t>Tracking guidance</w:t>
            </w:r>
          </w:p>
        </w:tc>
        <w:tc>
          <w:tcPr>
            <w:tcW w:type="dxa" w:w="1728"/>
          </w:tcPr>
          <w:p>
            <w:r>
              <w:rPr>
                <w:rFonts w:ascii="Calibri" w:hAnsi="Calibri"/>
                <w:sz w:val="22"/>
              </w:rPr>
              <w:t>Reiterated at Mizuho June 9, 2026; no change.</w:t>
            </w:r>
          </w:p>
        </w:tc>
      </w:tr>
    </w:tbl>
    <w:p>
      <w:r>
        <w:rPr>
          <w:rFonts w:ascii="Calibri" w:hAnsi="Calibri"/>
          <w:b/>
          <w:color w:val="525866"/>
          <w:sz w:val="22"/>
        </w:rPr>
        <w:t xml:space="preserve">Sources: </w:t>
      </w:r>
      <w:r>
        <w:rPr>
          <w:rFonts w:ascii="Calibri" w:hAnsi="Calibri"/>
          <w:color w:val="525866"/>
          <w:sz w:val="22"/>
        </w:rPr>
        <w:t>AT&amp;T Q1 2026 Earnings Call (April 22, 2026); AT&amp;T Mizuho Technology Conference (June 9, 2026); Visible Alpha Consensus and Actuals Data.</w:t>
      </w:r>
    </w:p>
    <w:p>
      <w:r>
        <w:br w:type="page"/>
      </w:r>
    </w:p>
    <w:p>
      <w:pPr>
        <w:pStyle w:val="Heading2"/>
      </w:pPr>
      <w:r>
        <w:rPr>
          <w:rFonts w:ascii="Calibri" w:hAnsi="Calibri"/>
          <w:b/>
          <w:color w:val="3B4259"/>
          <w:sz w:val="28"/>
        </w:rPr>
        <w:t>4. Guidance vs. Estimate Revision Tracker</w:t>
      </w:r>
    </w:p>
    <w:p>
      <w:r>
        <w:rPr>
          <w:rFonts w:ascii="Calibri" w:hAnsi="Calibri"/>
          <w:b/>
          <w:color w:val="525866"/>
          <w:sz w:val="22"/>
        </w:rPr>
        <w:t xml:space="preserve">Key Takeaway: </w:t>
      </w:r>
      <w:r>
        <w:rPr>
          <w:rFonts w:ascii="Calibri" w:hAnsi="Calibri"/>
          <w:color w:val="525866"/>
          <w:sz w:val="22"/>
        </w:rPr>
        <w:t>Estimates have been remarkably stable since the Q1 print — EPS and FCF consensus moved less than 0.1% in either direction — indicating the Street is tracking guidance closely with no divergence risk; the only notable gap is on advanced home internet net adds, where consensus appears conservative relative to management's explicit Q2 acceleration signal.</w:t>
      </w:r>
    </w:p>
    <w:tbl>
      <w:tblPr>
        <w:tblStyle w:val="TableGrid"/>
        <w:tblW w:type="auto" w:w="0"/>
        <w:tblLook w:firstColumn="1" w:firstRow="1" w:lastColumn="0" w:lastRow="0" w:noHBand="0" w:noVBand="1" w:val="04A0"/>
      </w:tblPr>
      <w:tblGrid>
        <w:gridCol w:w="1080"/>
        <w:gridCol w:w="1080"/>
        <w:gridCol w:w="1080"/>
        <w:gridCol w:w="1080"/>
        <w:gridCol w:w="1080"/>
        <w:gridCol w:w="1080"/>
        <w:gridCol w:w="1080"/>
        <w:gridCol w:w="1080"/>
      </w:tblGrid>
      <w:tr>
        <w:tc>
          <w:tcPr>
            <w:tcW w:type="dxa" w:w="1080"/>
            <w:shd w:val="clear" w:color="auto" w:fill="3B4259"/>
          </w:tcPr>
          <w:p>
            <w:r>
              <w:rPr>
                <w:rFonts w:ascii="Calibri" w:hAnsi="Calibri"/>
                <w:b/>
                <w:color w:val="FFFFFF"/>
                <w:sz w:val="22"/>
              </w:rPr>
              <w:t>KPI (Period)</w:t>
            </w:r>
          </w:p>
        </w:tc>
        <w:tc>
          <w:tcPr>
            <w:tcW w:type="dxa" w:w="1080"/>
            <w:shd w:val="clear" w:color="auto" w:fill="3B4259"/>
          </w:tcPr>
          <w:p>
            <w:r>
              <w:rPr>
                <w:rFonts w:ascii="Calibri" w:hAnsi="Calibri"/>
                <w:b/>
                <w:color w:val="FFFFFF"/>
                <w:sz w:val="22"/>
              </w:rPr>
              <w:t>Estimate ~Apr 29, 2026 (Post-Q1 Baseline)</w:t>
            </w:r>
          </w:p>
        </w:tc>
        <w:tc>
          <w:tcPr>
            <w:tcW w:type="dxa" w:w="1080"/>
            <w:shd w:val="clear" w:color="auto" w:fill="3B4259"/>
          </w:tcPr>
          <w:p>
            <w:r>
              <w:rPr>
                <w:rFonts w:ascii="Calibri" w:hAnsi="Calibri"/>
                <w:b/>
                <w:color w:val="FFFFFF"/>
                <w:sz w:val="22"/>
              </w:rPr>
              <w:t>Current Consensus</w:t>
            </w:r>
          </w:p>
        </w:tc>
        <w:tc>
          <w:tcPr>
            <w:tcW w:type="dxa" w:w="1080"/>
            <w:shd w:val="clear" w:color="auto" w:fill="3B4259"/>
          </w:tcPr>
          <w:p>
            <w:r>
              <w:rPr>
                <w:rFonts w:ascii="Calibri" w:hAnsi="Calibri"/>
                <w:b/>
                <w:color w:val="FFFFFF"/>
                <w:sz w:val="22"/>
              </w:rPr>
              <w:t>Estimate Δ (%)</w:t>
            </w:r>
          </w:p>
        </w:tc>
        <w:tc>
          <w:tcPr>
            <w:tcW w:type="dxa" w:w="1080"/>
            <w:shd w:val="clear" w:color="auto" w:fill="3B4259"/>
          </w:tcPr>
          <w:p>
            <w:r>
              <w:rPr>
                <w:rFonts w:ascii="Calibri" w:hAnsi="Calibri"/>
                <w:b/>
                <w:color w:val="FFFFFF"/>
                <w:sz w:val="22"/>
              </w:rPr>
              <w:t>Initial Guidance (Q1 Call)</w:t>
            </w:r>
          </w:p>
        </w:tc>
        <w:tc>
          <w:tcPr>
            <w:tcW w:type="dxa" w:w="1080"/>
            <w:shd w:val="clear" w:color="auto" w:fill="3B4259"/>
          </w:tcPr>
          <w:p>
            <w:r>
              <w:rPr>
                <w:rFonts w:ascii="Calibri" w:hAnsi="Calibri"/>
                <w:b/>
                <w:color w:val="FFFFFF"/>
                <w:sz w:val="22"/>
              </w:rPr>
              <w:t>Current Guidance</w:t>
            </w:r>
          </w:p>
        </w:tc>
        <w:tc>
          <w:tcPr>
            <w:tcW w:type="dxa" w:w="1080"/>
            <w:shd w:val="clear" w:color="auto" w:fill="3B4259"/>
          </w:tcPr>
          <w:p>
            <w:r>
              <w:rPr>
                <w:rFonts w:ascii="Calibri" w:hAnsi="Calibri"/>
                <w:b/>
                <w:color w:val="FFFFFF"/>
                <w:sz w:val="22"/>
              </w:rPr>
              <w:t>Guidance Δ</w:t>
            </w:r>
          </w:p>
        </w:tc>
        <w:tc>
          <w:tcPr>
            <w:tcW w:type="dxa" w:w="1080"/>
            <w:shd w:val="clear" w:color="auto" w:fill="3B4259"/>
          </w:tcPr>
          <w:p>
            <w:r>
              <w:rPr>
                <w:rFonts w:ascii="Calibri" w:hAnsi="Calibri"/>
                <w:b/>
                <w:color w:val="FFFFFF"/>
                <w:sz w:val="22"/>
              </w:rPr>
              <w:t>Consensus vs. Guidance (%)</w:t>
            </w:r>
          </w:p>
        </w:tc>
      </w:tr>
      <w:tr>
        <w:tc>
          <w:tcPr>
            <w:tcW w:type="dxa" w:w="1080"/>
          </w:tcPr>
          <w:p>
            <w:r>
              <w:rPr>
                <w:rFonts w:ascii="Calibri" w:hAnsi="Calibri"/>
                <w:sz w:val="22"/>
              </w:rPr>
              <w:t>Operating EPS — Q2 2026</w:t>
            </w:r>
          </w:p>
        </w:tc>
        <w:tc>
          <w:tcPr>
            <w:tcW w:type="dxa" w:w="1080"/>
          </w:tcPr>
          <w:p>
            <w:r>
              <w:rPr>
                <w:rFonts w:ascii="Calibri" w:hAnsi="Calibri"/>
                <w:sz w:val="22"/>
              </w:rPr>
              <w:t>$0.586</w:t>
            </w:r>
          </w:p>
        </w:tc>
        <w:tc>
          <w:tcPr>
            <w:tcW w:type="dxa" w:w="1080"/>
          </w:tcPr>
          <w:p>
            <w:r>
              <w:rPr>
                <w:rFonts w:ascii="Calibri" w:hAnsi="Calibri"/>
                <w:sz w:val="22"/>
              </w:rPr>
              <w:t>$0.586</w:t>
            </w:r>
          </w:p>
        </w:tc>
        <w:tc>
          <w:tcPr>
            <w:tcW w:type="dxa" w:w="1080"/>
          </w:tcPr>
          <w:p>
            <w:r>
              <w:rPr>
                <w:rFonts w:ascii="Calibri" w:hAnsi="Calibri"/>
                <w:sz w:val="22"/>
              </w:rPr>
              <w:t>0.0%</w:t>
            </w:r>
          </w:p>
        </w:tc>
        <w:tc>
          <w:tcPr>
            <w:tcW w:type="dxa" w:w="1080"/>
          </w:tcPr>
          <w:p>
            <w:r>
              <w:rPr>
                <w:rFonts w:ascii="Calibri" w:hAnsi="Calibri"/>
                <w:sz w:val="22"/>
              </w:rPr>
              <w:t>FY $2.25–$2.35</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~Midpoint of FY range</w:t>
            </w:r>
          </w:p>
        </w:tc>
      </w:tr>
      <w:tr>
        <w:tc>
          <w:tcPr>
            <w:tcW w:type="dxa" w:w="1080"/>
          </w:tcPr>
          <w:p>
            <w:r>
              <w:rPr>
                <w:rFonts w:ascii="Calibri" w:hAnsi="Calibri"/>
                <w:sz w:val="22"/>
              </w:rPr>
              <w:t>Operating EPS — FY 2026</w:t>
            </w:r>
          </w:p>
        </w:tc>
        <w:tc>
          <w:tcPr>
            <w:tcW w:type="dxa" w:w="1080"/>
          </w:tcPr>
          <w:p>
            <w:r>
              <w:rPr>
                <w:rFonts w:ascii="Calibri" w:hAnsi="Calibri"/>
                <w:sz w:val="22"/>
              </w:rPr>
              <w:t>$2.322</w:t>
            </w:r>
          </w:p>
        </w:tc>
        <w:tc>
          <w:tcPr>
            <w:tcW w:type="dxa" w:w="1080"/>
          </w:tcPr>
          <w:p>
            <w:r>
              <w:rPr>
                <w:rFonts w:ascii="Calibri" w:hAnsi="Calibri"/>
                <w:sz w:val="22"/>
              </w:rPr>
              <w:t>$2.322</w:t>
            </w:r>
          </w:p>
        </w:tc>
        <w:tc>
          <w:tcPr>
            <w:tcW w:type="dxa" w:w="1080"/>
          </w:tcPr>
          <w:p>
            <w:r>
              <w:rPr>
                <w:rFonts w:ascii="Calibri" w:hAnsi="Calibri"/>
                <w:sz w:val="22"/>
              </w:rPr>
              <w:t>0.0%</w:t>
            </w:r>
          </w:p>
        </w:tc>
        <w:tc>
          <w:tcPr>
            <w:tcW w:type="dxa" w:w="1080"/>
          </w:tcPr>
          <w:p>
            <w:r>
              <w:rPr>
                <w:rFonts w:ascii="Calibri" w:hAnsi="Calibri"/>
                <w:sz w:val="22"/>
              </w:rPr>
              <w:t>$2.25–$2.35</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+0.9% above midpoint ($2.30)</w:t>
            </w:r>
          </w:p>
        </w:tc>
      </w:tr>
      <w:tr>
        <w:tc>
          <w:tcPr>
            <w:tcW w:type="dxa" w:w="1080"/>
          </w:tcPr>
          <w:p>
            <w:r>
              <w:rPr>
                <w:rFonts w:ascii="Calibri" w:hAnsi="Calibri"/>
                <w:sz w:val="22"/>
              </w:rPr>
              <w:t>Free Cash Flow — Q2 2026</w:t>
            </w:r>
          </w:p>
        </w:tc>
        <w:tc>
          <w:tcPr>
            <w:tcW w:type="dxa" w:w="1080"/>
          </w:tcPr>
          <w:p>
            <w:r>
              <w:rPr>
                <w:rFonts w:ascii="Calibri" w:hAnsi="Calibri"/>
                <w:sz w:val="22"/>
              </w:rPr>
              <w:t>$4.388B</w:t>
            </w:r>
          </w:p>
        </w:tc>
        <w:tc>
          <w:tcPr>
            <w:tcW w:type="dxa" w:w="1080"/>
          </w:tcPr>
          <w:p>
            <w:r>
              <w:rPr>
                <w:rFonts w:ascii="Calibri" w:hAnsi="Calibri"/>
                <w:sz w:val="22"/>
              </w:rPr>
              <w:t>$4.426B</w:t>
            </w:r>
          </w:p>
        </w:tc>
        <w:tc>
          <w:tcPr>
            <w:tcW w:type="dxa" w:w="1080"/>
          </w:tcPr>
          <w:p>
            <w:r>
              <w:rPr>
                <w:rFonts w:ascii="Calibri" w:hAnsi="Calibri"/>
                <w:sz w:val="22"/>
              </w:rPr>
              <w:t>+0.9%</w:t>
            </w:r>
          </w:p>
        </w:tc>
        <w:tc>
          <w:tcPr>
            <w:tcW w:type="dxa" w:w="1080"/>
          </w:tcPr>
          <w:p>
            <w:r>
              <w:rPr>
                <w:rFonts w:ascii="Calibri" w:hAnsi="Calibri"/>
                <w:sz w:val="22"/>
              </w:rPr>
              <w:t>$4.0–$4.5B</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+0.6% above midpoint ($4.25B)</w:t>
            </w:r>
          </w:p>
        </w:tc>
      </w:tr>
      <w:tr>
        <w:tc>
          <w:tcPr>
            <w:tcW w:type="dxa" w:w="1080"/>
          </w:tcPr>
          <w:p>
            <w:r>
              <w:rPr>
                <w:rFonts w:ascii="Calibri" w:hAnsi="Calibri"/>
                <w:sz w:val="22"/>
              </w:rPr>
              <w:t>Free Cash Flow — FY 2026</w:t>
            </w:r>
          </w:p>
        </w:tc>
        <w:tc>
          <w:tcPr>
            <w:tcW w:type="dxa" w:w="1080"/>
          </w:tcPr>
          <w:p>
            <w:r>
              <w:rPr>
                <w:rFonts w:ascii="Calibri" w:hAnsi="Calibri"/>
                <w:sz w:val="22"/>
              </w:rPr>
              <w:t>$18.186B</w:t>
            </w:r>
          </w:p>
        </w:tc>
        <w:tc>
          <w:tcPr>
            <w:tcW w:type="dxa" w:w="1080"/>
          </w:tcPr>
          <w:p>
            <w:r>
              <w:rPr>
                <w:rFonts w:ascii="Calibri" w:hAnsi="Calibri"/>
                <w:sz w:val="22"/>
              </w:rPr>
              <w:t>$18.242B</w:t>
            </w:r>
          </w:p>
        </w:tc>
        <w:tc>
          <w:tcPr>
            <w:tcW w:type="dxa" w:w="1080"/>
          </w:tcPr>
          <w:p>
            <w:r>
              <w:rPr>
                <w:rFonts w:ascii="Calibri" w:hAnsi="Calibri"/>
                <w:sz w:val="22"/>
              </w:rPr>
              <w:t>+0.3%</w:t>
            </w:r>
          </w:p>
        </w:tc>
        <w:tc>
          <w:tcPr>
            <w:tcW w:type="dxa" w:w="1080"/>
          </w:tcPr>
          <w:p>
            <w:r>
              <w:rPr>
                <w:rFonts w:ascii="Calibri" w:hAnsi="Calibri"/>
                <w:sz w:val="22"/>
              </w:rPr>
              <w:t>$18B+</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+1.3% above floor</w:t>
            </w:r>
          </w:p>
        </w:tc>
      </w:tr>
      <w:tr>
        <w:tc>
          <w:tcPr>
            <w:tcW w:type="dxa" w:w="1080"/>
          </w:tcPr>
          <w:p>
            <w:r>
              <w:rPr>
                <w:rFonts w:ascii="Calibri" w:hAnsi="Calibri"/>
                <w:sz w:val="22"/>
              </w:rPr>
              <w:t>Adjusted EBITDA — Q2 2026</w:t>
            </w:r>
          </w:p>
        </w:tc>
        <w:tc>
          <w:tcPr>
            <w:tcW w:type="dxa" w:w="1080"/>
          </w:tcPr>
          <w:p>
            <w:r>
              <w:rPr>
                <w:rFonts w:ascii="Calibri" w:hAnsi="Calibri"/>
                <w:sz w:val="22"/>
              </w:rPr>
              <w:t>$12.094B</w:t>
            </w:r>
          </w:p>
        </w:tc>
        <w:tc>
          <w:tcPr>
            <w:tcW w:type="dxa" w:w="1080"/>
          </w:tcPr>
          <w:p>
            <w:r>
              <w:rPr>
                <w:rFonts w:ascii="Calibri" w:hAnsi="Calibri"/>
                <w:sz w:val="22"/>
              </w:rPr>
              <w:t>$12.073B</w:t>
            </w:r>
          </w:p>
        </w:tc>
        <w:tc>
          <w:tcPr>
            <w:tcW w:type="dxa" w:w="1080"/>
          </w:tcPr>
          <w:p>
            <w:r>
              <w:rPr>
                <w:rFonts w:ascii="Calibri" w:hAnsi="Calibri"/>
                <w:sz w:val="22"/>
              </w:rPr>
              <w:t>-0.2%</w:t>
            </w:r>
          </w:p>
        </w:tc>
        <w:tc>
          <w:tcPr>
            <w:tcW w:type="dxa" w:w="1080"/>
          </w:tcPr>
          <w:p>
            <w:r>
              <w:rPr>
                <w:rFonts w:ascii="Calibri" w:hAnsi="Calibri"/>
                <w:sz w:val="22"/>
              </w:rPr>
              <w:t>“Improved growth vs Q1”</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Tracking qualitative guidance</w:t>
            </w:r>
          </w:p>
        </w:tc>
      </w:tr>
      <w:tr>
        <w:tc>
          <w:tcPr>
            <w:tcW w:type="dxa" w:w="1080"/>
          </w:tcPr>
          <w:p>
            <w:r>
              <w:rPr>
                <w:rFonts w:ascii="Calibri" w:hAnsi="Calibri"/>
                <w:sz w:val="22"/>
              </w:rPr>
              <w:t>Adjusted EBITDA — FY 2026</w:t>
            </w:r>
          </w:p>
        </w:tc>
        <w:tc>
          <w:tcPr>
            <w:tcW w:type="dxa" w:w="1080"/>
          </w:tcPr>
          <w:p>
            <w:r>
              <w:rPr>
                <w:rFonts w:ascii="Calibri" w:hAnsi="Calibri"/>
                <w:sz w:val="22"/>
              </w:rPr>
              <w:t>$47.775B</w:t>
            </w:r>
          </w:p>
        </w:tc>
        <w:tc>
          <w:tcPr>
            <w:tcW w:type="dxa" w:w="1080"/>
          </w:tcPr>
          <w:p>
            <w:r>
              <w:rPr>
                <w:rFonts w:ascii="Calibri" w:hAnsi="Calibri"/>
                <w:sz w:val="22"/>
              </w:rPr>
              <w:t>$47.795B</w:t>
            </w:r>
          </w:p>
        </w:tc>
        <w:tc>
          <w:tcPr>
            <w:tcW w:type="dxa" w:w="1080"/>
          </w:tcPr>
          <w:p>
            <w:r>
              <w:rPr>
                <w:rFonts w:ascii="Calibri" w:hAnsi="Calibri"/>
                <w:sz w:val="22"/>
              </w:rPr>
              <w:t>+0.0%</w:t>
            </w:r>
          </w:p>
        </w:tc>
        <w:tc>
          <w:tcPr>
            <w:tcW w:type="dxa" w:w="1080"/>
          </w:tcPr>
          <w:p>
            <w:r>
              <w:rPr>
                <w:rFonts w:ascii="Calibri" w:hAnsi="Calibri"/>
                <w:sz w:val="22"/>
              </w:rPr>
              <w:t>+3%–4% growth</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~+3.5% growth; within range</w:t>
            </w:r>
          </w:p>
        </w:tc>
      </w:tr>
      <w:tr>
        <w:tc>
          <w:tcPr>
            <w:tcW w:type="dxa" w:w="1080"/>
          </w:tcPr>
          <w:p>
            <w:r>
              <w:rPr>
                <w:rFonts w:ascii="Calibri" w:hAnsi="Calibri"/>
                <w:sz w:val="22"/>
              </w:rPr>
              <w:t>Fiber Net Adds — Q2 2026</w:t>
            </w:r>
          </w:p>
        </w:tc>
        <w:tc>
          <w:tcPr>
            <w:tcW w:type="dxa" w:w="1080"/>
          </w:tcPr>
          <w:p>
            <w:r>
              <w:rPr>
                <w:rFonts w:ascii="Calibri" w:hAnsi="Calibri"/>
                <w:sz w:val="22"/>
              </w:rPr>
              <w:t>~286K</w:t>
            </w:r>
          </w:p>
        </w:tc>
        <w:tc>
          <w:tcPr>
            <w:tcW w:type="dxa" w:w="1080"/>
          </w:tcPr>
          <w:p>
            <w:r>
              <w:rPr>
                <w:rFonts w:ascii="Calibri" w:hAnsi="Calibri"/>
                <w:sz w:val="22"/>
              </w:rPr>
              <w:t>~288K</w:t>
            </w:r>
          </w:p>
        </w:tc>
        <w:tc>
          <w:tcPr>
            <w:tcW w:type="dxa" w:w="1080"/>
          </w:tcPr>
          <w:p>
            <w:r>
              <w:rPr>
                <w:rFonts w:ascii="Calibri" w:hAnsi="Calibri"/>
                <w:sz w:val="22"/>
              </w:rPr>
              <w:t>+0.7%</w:t>
            </w:r>
          </w:p>
        </w:tc>
        <w:tc>
          <w:tcPr>
            <w:tcW w:type="dxa" w:w="1080"/>
          </w:tcPr>
          <w:p>
            <w:r>
              <w:rPr>
                <w:rFonts w:ascii="Calibri" w:hAnsi="Calibri"/>
                <w:sz w:val="22"/>
              </w:rPr>
              <w:t>FY ~2.33M</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On track for FY target</w:t>
            </w:r>
          </w:p>
        </w:tc>
      </w:tr>
      <w:tr>
        <w:tc>
          <w:tcPr>
            <w:tcW w:type="dxa" w:w="1080"/>
          </w:tcPr>
          <w:p>
            <w:r>
              <w:rPr>
                <w:rFonts w:ascii="Calibri" w:hAnsi="Calibri"/>
                <w:sz w:val="22"/>
              </w:rPr>
              <w:t>Postpaid Phone Net Adds — Q2 2026</w:t>
            </w:r>
          </w:p>
        </w:tc>
        <w:tc>
          <w:tcPr>
            <w:tcW w:type="dxa" w:w="1080"/>
          </w:tcPr>
          <w:p>
            <w:r>
              <w:rPr>
                <w:rFonts w:ascii="Calibri" w:hAnsi="Calibri"/>
                <w:sz w:val="22"/>
              </w:rPr>
              <w:t>~317K</w:t>
            </w:r>
          </w:p>
        </w:tc>
        <w:tc>
          <w:tcPr>
            <w:tcW w:type="dxa" w:w="1080"/>
          </w:tcPr>
          <w:p>
            <w:r>
              <w:rPr>
                <w:rFonts w:ascii="Calibri" w:hAnsi="Calibri"/>
                <w:sz w:val="22"/>
              </w:rPr>
              <w:t>~343K</w:t>
            </w:r>
          </w:p>
        </w:tc>
        <w:tc>
          <w:tcPr>
            <w:tcW w:type="dxa" w:w="1080"/>
          </w:tcPr>
          <w:p>
            <w:r>
              <w:rPr>
                <w:rFonts w:ascii="Calibri" w:hAnsi="Calibri"/>
                <w:sz w:val="22"/>
              </w:rPr>
              <w:t>+8.2%</w:t>
            </w:r>
          </w:p>
        </w:tc>
        <w:tc>
          <w:tcPr>
            <w:tcW w:type="dxa" w:w="1080"/>
          </w:tcPr>
          <w:p>
            <w:r>
              <w:rPr>
                <w:rFonts w:ascii="Calibri" w:hAnsi="Calibri"/>
                <w:sz w:val="22"/>
              </w:rPr>
              <w:t>FY ~1.37M</w:t>
            </w:r>
          </w:p>
        </w:tc>
        <w:tc>
          <w:tcPr>
            <w:tcW w:type="dxa" w:w="1080"/>
          </w:tcPr>
          <w:p>
            <w:r>
              <w:rPr>
                <w:rFonts w:ascii="Calibri" w:hAnsi="Calibri"/>
                <w:sz w:val="22"/>
              </w:rPr>
              <w:t>Unchanged</w:t>
            </w:r>
          </w:p>
        </w:tc>
        <w:tc>
          <w:tcPr>
            <w:tcW w:type="dxa" w:w="1080"/>
          </w:tcPr>
          <w:p>
            <w:r>
              <w:rPr>
                <w:rFonts w:ascii="Calibri" w:hAnsi="Calibri"/>
                <w:sz w:val="22"/>
              </w:rPr>
              <w:t>0%</w:t>
            </w:r>
          </w:p>
        </w:tc>
        <w:tc>
          <w:tcPr>
            <w:tcW w:type="dxa" w:w="1080"/>
          </w:tcPr>
          <w:p>
            <w:r>
              <w:rPr>
                <w:rFonts w:ascii="Calibri" w:hAnsi="Calibri"/>
                <w:sz w:val="22"/>
              </w:rPr>
              <w:t>Estimates revised slightly higher post-Q1 beat</w:t>
            </w:r>
          </w:p>
        </w:tc>
      </w:tr>
    </w:tbl>
    <w:p>
      <w:r>
        <w:rPr>
          <w:rFonts w:ascii="Calibri" w:hAnsi="Calibri"/>
          <w:color w:val="525866"/>
          <w:sz w:val="22"/>
        </w:rPr>
        <w:t>The near-zero estimate drift since the Q1 print reflects a Street that is fully anchored to management guidance with no independent upward or downward revision pressure. The most notable gap is on advanced home internet net adds, where consensus (~523K) appears conservative relative to management's explicit Q2 acceleration signal (&gt;584K Q1 pace) — this represents the clearest potential upside surprise heading into the print.</w:t>
      </w:r>
    </w:p>
    <w:p>
      <w:r>
        <w:rPr>
          <w:rFonts w:ascii="Calibri" w:hAnsi="Calibri"/>
          <w:color w:val="525866"/>
          <w:sz w:val="22"/>
        </w:rPr>
        <w:t>Source: Visible Alpha Consensus and Actuals Data; AT&amp;T Q1 2026 Earnings Call; AT&amp;T Mizuho Technology Conference (June 9, 2026).</w:t>
      </w:r>
    </w:p>
    <w:p>
      <w:r>
        <w:br w:type="page"/>
      </w:r>
    </w:p>
    <w:p>
      <w:pPr>
        <w:pStyle w:val="Heading2"/>
      </w:pPr>
      <w:r>
        <w:rPr>
          <w:rFonts w:ascii="Calibri" w:hAnsi="Calibri"/>
          <w:b/>
          <w:color w:val="3B4259"/>
          <w:sz w:val="28"/>
        </w:rPr>
        <w:t>5. Stock Performance</w:t>
      </w:r>
    </w:p>
    <w:p>
      <w:r>
        <w:rPr>
          <w:rFonts w:ascii="Calibri" w:hAnsi="Calibri"/>
          <w:b/>
          <w:color w:val="525866"/>
          <w:sz w:val="22"/>
        </w:rPr>
        <w:t xml:space="preserve">Key Takeaway: </w:t>
      </w:r>
      <w:r>
        <w:rPr>
          <w:rFonts w:ascii="Calibri" w:hAnsi="Calibri"/>
          <w:color w:val="525866"/>
          <w:sz w:val="22"/>
        </w:rPr>
        <w:t>T has underperformed sharply since Q1 earnings — down ~14% vs. XLC down ~7% and SPY up ~5% — driven almost entirely by multiple compression (EV/EBITDA contracted ~8% over three months) rather than estimate cuts, as Starlink/SpaceX competitive fears and sector-wide de-rating overwhelmed clean fundamental execution.</w:t>
      </w:r>
    </w:p>
    <w:p>
      <w:r>
        <w:drawing>
          <wp:inline xmlns:a="http://schemas.openxmlformats.org/drawingml/2006/main" xmlns:pic="http://schemas.openxmlformats.org/drawingml/2006/picture">
            <wp:extent cx="4572000" cy="3265714"/>
            <wp:docPr id="1" name="Picture 1"/>
            <wp:cNvGraphicFramePr>
              <a:graphicFrameLocks noChangeAspect="1"/>
            </wp:cNvGraphicFramePr>
            <a:graphic>
              <a:graphicData uri="http://schemas.openxmlformats.org/drawingml/2006/picture">
                <pic:pic>
                  <pic:nvPicPr>
                    <pic:cNvPr id="0" name="image.png"/>
                    <pic:cNvPicPr/>
                  </pic:nvPicPr>
                  <pic:blipFill>
                    <a:blip r:embed="rId9"/>
                    <a:stretch>
                      <a:fillRect/>
                    </a:stretch>
                  </pic:blipFill>
                  <pic:spPr>
                    <a:xfrm>
                      <a:off x="0" y="0"/>
                      <a:ext cx="4572000" cy="3265714"/>
                    </a:xfrm>
                    <a:prstGeom prst="rect"/>
                  </pic:spPr>
                </pic:pic>
              </a:graphicData>
            </a:graphic>
          </wp:inline>
        </w:drawing>
      </w:r>
    </w:p>
    <w:p>
      <w:pPr>
        <w:jc w:val="center"/>
      </w:pPr>
      <w:r>
        <w:rPr>
          <w:i/>
          <w:color w:val="666666"/>
          <w:sz w:val="18"/>
        </w:rPr>
        <w:t>T vs. XLC vs. S&amp;P 500 — Indexed to 100 at Q1 2026 Earnings (April 22, 2026). Vertical dashed line marks June 16, 2026 CFO transition disclosure. Source: Yahoo Finance / Stock Price Data.</w:t>
      </w:r>
    </w:p>
    <w:p>
      <w:r>
        <w:rPr>
          <w:rFonts w:ascii="Calibri" w:hAnsi="Calibri"/>
          <w:b/>
          <w:color w:val="525866"/>
          <w:sz w:val="22"/>
        </w:rPr>
        <w:t xml:space="preserve">Performance Summary (April 22 – July 21, 2026): </w:t>
      </w:r>
      <w:r>
        <w:rPr>
          <w:rFonts w:ascii="Calibri" w:hAnsi="Calibri"/>
          <w:color w:val="525866"/>
          <w:sz w:val="22"/>
        </w:rPr>
        <w:t>T: −14.3% | XLC: −6.7% | SPY: +5.2%. AT&amp;T's underperformance is almost entirely valuation-driven: EV/EBITDA compressed from ~6.6x to ~6.1x (−8.4%), P/E from ~11.2x to ~9.1x (−18.7%), and P/FCF from ~9.4x to ~7.6x (−19.8%) over the three-month window, while EPS estimates moved essentially flat. The stock sold off in two distinct waves: (1) a gradual drift lower through May–June as Starlink/SpaceX competitive fears weighed on the entire telecom sector, and (2) a sharper leg down in late June/early July as VZ fell 8.5% on SpaceX mobile market entry reports, dragging T lower in sympathy. The June 16 CFO transition announcement (Pascal Desroches retiring, Jennifer Biry appointed effective January 1, 2027) had minimal stock impact given the long lead time and Biry's prior AT&amp;T experience. At current levels (~$22.26), T trades at 9.1x NTM P/E and 7.6x P/FCF — near multi-year lows — creating an asymmetric setup if Q2 execution is clean.</w:t>
      </w:r>
    </w:p>
    <w:p>
      <w:r>
        <w:rPr>
          <w:rFonts w:ascii="Calibri" w:hAnsi="Calibri"/>
          <w:color w:val="525866"/>
          <w:sz w:val="22"/>
        </w:rPr>
        <w:t>Source: Yahoo Finance / Stock Price Data; Visible Alpha Consensus and Actuals Data (NTM multiples).</w:t>
      </w:r>
    </w:p>
    <w:p>
      <w:r>
        <w:br w:type="page"/>
      </w:r>
    </w:p>
    <w:p>
      <w:pPr>
        <w:pStyle w:val="Heading2"/>
      </w:pPr>
      <w:r>
        <w:rPr>
          <w:rFonts w:ascii="Calibri" w:hAnsi="Calibri"/>
          <w:b/>
          <w:color w:val="3B4259"/>
          <w:sz w:val="28"/>
        </w:rPr>
        <w:t>6. Material News &amp; Developments (Since Q1 2026 Earnings — April 22, 2026)</w:t>
      </w:r>
    </w:p>
    <w:p>
      <w:r>
        <w:rPr>
          <w:rFonts w:ascii="Calibri" w:hAnsi="Calibri"/>
          <w:b/>
          <w:color w:val="525866"/>
          <w:sz w:val="22"/>
        </w:rPr>
        <w:t xml:space="preserve">Key Takeaway: </w:t>
      </w:r>
      <w:r>
        <w:rPr>
          <w:rFonts w:ascii="Calibri" w:hAnsi="Calibri"/>
          <w:color w:val="525866"/>
          <w:sz w:val="22"/>
        </w:rPr>
        <w:t>The most important development is the sector-wide Starlink/SpaceX competitive fear that drove a sharp de-rating across telecom stocks in early July, creating a low-valuation entry point ahead of a print where AT&amp;T's fundamental execution has been clean; the CFO transition is a secondary but notable leadership change.</w:t>
      </w:r>
    </w:p>
    <w:p>
      <w:pPr>
        <w:pStyle w:val="ListBullet"/>
        <w:ind w:left="360" w:hanging="360"/>
      </w:pPr>
      <w:r>
        <w:rPr>
          <w:rFonts w:ascii="Calibri" w:hAnsi="Calibri"/>
          <w:b/>
          <w:color w:val="525866"/>
          <w:sz w:val="22"/>
        </w:rPr>
        <w:t>July 8, 2026 — SpaceX/Starlink Mobile Market Entry Reports:</w:t>
      </w:r>
      <w:r>
        <w:rPr>
          <w:rFonts w:ascii="Calibri" w:hAnsi="Calibri"/>
          <w:color w:val="525866"/>
          <w:sz w:val="22"/>
        </w:rPr>
        <w:t xml:space="preserve"> Reports emerged that SpaceX might enter the mobile phone market, triggering an 8.5% single-day decline in VZ and dragging T lower in sympathy. Wells Fargo initiated VZ at Equal Weight citing Starlink as a key competitive threat; Barclays lowered VZ PT to $45. Morgan Stanley's Sean Diffley maintained that the perceived risk of Starlink disrupting U.S. wireless is greater than the actual risk. </w:t>
      </w:r>
    </w:p>
    <w:p>
      <w:pPr>
        <w:pStyle w:val="ListBullet"/>
        <w:ind w:left="360" w:hanging="360"/>
      </w:pPr>
      <w:r>
        <w:rPr>
          <w:rFonts w:ascii="Calibri" w:hAnsi="Calibri"/>
          <w:b/>
          <w:color w:val="525866"/>
          <w:sz w:val="22"/>
        </w:rPr>
        <w:t>Implication for T:</w:t>
      </w:r>
      <w:r>
        <w:rPr>
          <w:rFonts w:ascii="Calibri" w:hAnsi="Calibri"/>
          <w:color w:val="525866"/>
          <w:sz w:val="22"/>
        </w:rPr>
        <w:t xml:space="preserve"> AT&amp;T has an existing AST SpaceMobile partnership for D2D services and is part of the May 2026 three-carrier D2D JV with T-Mobile and Verizon. Management has consistently framed satellite as complementary, not competitive. The sell-off appears sentiment-driven rather than fundamental.</w:t>
      </w:r>
    </w:p>
    <w:p>
      <w:pPr>
        <w:pStyle w:val="ListBullet"/>
        <w:ind w:left="360" w:hanging="360"/>
      </w:pPr>
      <w:r>
        <w:rPr>
          <w:rFonts w:ascii="Calibri" w:hAnsi="Calibri"/>
          <w:b/>
          <w:color w:val="525866"/>
          <w:sz w:val="22"/>
        </w:rPr>
        <w:t>July 16, 2026 — Verizon Cuts ~3,000 Jobs, Divests 274 Retail Stores:</w:t>
      </w:r>
      <w:r>
        <w:rPr>
          <w:rFonts w:ascii="Calibri" w:hAnsi="Calibri"/>
          <w:color w:val="525866"/>
          <w:sz w:val="22"/>
        </w:rPr>
        <w:t xml:space="preserve"> VZ announced layoffs and store divestitures to franchise owners, retaining ~1,000 corporate stores. </w:t>
      </w:r>
    </w:p>
    <w:p>
      <w:pPr>
        <w:pStyle w:val="ListBullet"/>
        <w:ind w:left="360" w:hanging="360"/>
      </w:pPr>
      <w:r>
        <w:rPr>
          <w:rFonts w:ascii="Calibri" w:hAnsi="Calibri"/>
          <w:b/>
          <w:color w:val="525866"/>
          <w:sz w:val="22"/>
        </w:rPr>
        <w:t>Implication for T:</w:t>
      </w:r>
      <w:r>
        <w:rPr>
          <w:rFonts w:ascii="Calibri" w:hAnsi="Calibri"/>
          <w:color w:val="525866"/>
          <w:sz w:val="22"/>
        </w:rPr>
        <w:t xml:space="preserve"> Signals VZ is restructuring its retail footprint, potentially reducing competitive intensity in device-subsidy-led acquisition. Positive read-through for AT&amp;T's strategy of shifting toward network-value-led retention (AT&amp;T One Connect).</w:t>
      </w:r>
    </w:p>
    <w:p>
      <w:pPr>
        <w:pStyle w:val="ListBullet"/>
        <w:ind w:left="360" w:hanging="360"/>
      </w:pPr>
      <w:r>
        <w:rPr>
          <w:rFonts w:ascii="Calibri" w:hAnsi="Calibri"/>
          <w:b/>
          <w:color w:val="525866"/>
          <w:sz w:val="22"/>
        </w:rPr>
        <w:t>June 16, 2026 — CFO Transition Announced:</w:t>
      </w:r>
      <w:r>
        <w:rPr>
          <w:rFonts w:ascii="Calibri" w:hAnsi="Calibri"/>
          <w:color w:val="525866"/>
          <w:sz w:val="22"/>
        </w:rPr>
        <w:t xml:space="preserve"> Pascal Desroches announced retirement effective December 31, 2026. Jennifer Biry appointed Deputy CFO effective July 6, 2026, to become CFO on January 1, 2027. Biry previously served as CFO/COO of McAfee and EVP/CFO of WarnerMedia (AT&amp;T subsidiary). </w:t>
      </w:r>
    </w:p>
    <w:p>
      <w:pPr>
        <w:pStyle w:val="ListBullet"/>
        <w:ind w:left="360" w:hanging="360"/>
      </w:pPr>
      <w:r>
        <w:rPr>
          <w:rFonts w:ascii="Calibri" w:hAnsi="Calibri"/>
          <w:b/>
          <w:color w:val="525866"/>
          <w:sz w:val="22"/>
        </w:rPr>
        <w:t>Implication for T:</w:t>
      </w:r>
      <w:r>
        <w:rPr>
          <w:rFonts w:ascii="Calibri" w:hAnsi="Calibri"/>
          <w:color w:val="525866"/>
          <w:sz w:val="22"/>
        </w:rPr>
        <w:t xml:space="preserve"> Long lead time and Biry's prior AT&amp;T experience reduce transition risk. Desroches will present Q2 results on July 22 — no near-term disruption. Minimal stock impact on announcement.</w:t>
      </w:r>
    </w:p>
    <w:p>
      <w:pPr>
        <w:pStyle w:val="ListBullet"/>
        <w:ind w:left="360" w:hanging="360"/>
      </w:pPr>
      <w:r>
        <w:rPr>
          <w:rFonts w:ascii="Calibri" w:hAnsi="Calibri"/>
          <w:b/>
          <w:color w:val="525866"/>
          <w:sz w:val="22"/>
        </w:rPr>
        <w:t>June 9, 2026 — Mizuho Technology Conference (CFO Desroches):</w:t>
      </w:r>
      <w:r>
        <w:rPr>
          <w:rFonts w:ascii="Calibri" w:hAnsi="Calibri"/>
          <w:color w:val="525866"/>
          <w:sz w:val="22"/>
        </w:rPr>
        <w:t xml:space="preserve"> Full-year 2026 guidance reiterated in its entirety. New specific target: 40 million fiber passings by year-end 2026. Explicit Q2 acceleration signal for advanced home internet additions. Lumen integration described as tracking ahead of expectations on sales demand. </w:t>
      </w:r>
    </w:p>
    <w:p>
      <w:pPr>
        <w:pStyle w:val="ListBullet"/>
        <w:ind w:left="360" w:hanging="360"/>
      </w:pPr>
      <w:r>
        <w:rPr>
          <w:rFonts w:ascii="Calibri" w:hAnsi="Calibri"/>
          <w:b/>
          <w:color w:val="525866"/>
          <w:sz w:val="22"/>
        </w:rPr>
        <w:t>Implication for T:</w:t>
      </w:r>
      <w:r>
        <w:rPr>
          <w:rFonts w:ascii="Calibri" w:hAnsi="Calibri"/>
          <w:color w:val="525866"/>
          <w:sz w:val="22"/>
        </w:rPr>
        <w:t xml:space="preserve"> Incremental positive — management added specificity to the fiber build target and signaled Q2 subscriber acceleration, setting a higher bar for the print but also providing confidence in execution.</w:t>
      </w:r>
    </w:p>
    <w:p>
      <w:pPr>
        <w:pStyle w:val="ListBullet"/>
        <w:ind w:left="360" w:hanging="360"/>
      </w:pPr>
      <w:r>
        <w:rPr>
          <w:rFonts w:ascii="Calibri" w:hAnsi="Calibri"/>
          <w:b/>
          <w:color w:val="525866"/>
          <w:sz w:val="22"/>
        </w:rPr>
        <w:t>May 2026 — Three-Carrier D2D JV (AT&amp;T, T-Mobile, Verizon):</w:t>
      </w:r>
      <w:r>
        <w:rPr>
          <w:rFonts w:ascii="Calibri" w:hAnsi="Calibri"/>
          <w:color w:val="525866"/>
          <w:sz w:val="22"/>
        </w:rPr>
        <w:t xml:space="preserve"> Agreement in principle announced to pool spectrum, build shared ground station infrastructure, and create a robust multi-constellation wholesale satellite market. Existing carrier-satellite agreements (including AST SpaceMobile) remain in place. Definitive agreement expected; regulatory approval (likely DOJ second request) adds timing uncertainty. </w:t>
      </w:r>
    </w:p>
    <w:p>
      <w:pPr>
        <w:pStyle w:val="ListBullet"/>
        <w:ind w:left="360" w:hanging="360"/>
      </w:pPr>
      <w:r>
        <w:rPr>
          <w:rFonts w:ascii="Calibri" w:hAnsi="Calibri"/>
          <w:b/>
          <w:color w:val="525866"/>
          <w:sz w:val="22"/>
        </w:rPr>
        <w:t>Implication for T:</w:t>
      </w:r>
      <w:r>
        <w:rPr>
          <w:rFonts w:ascii="Calibri" w:hAnsi="Calibri"/>
          <w:color w:val="525866"/>
          <w:sz w:val="22"/>
        </w:rPr>
        <w:t xml:space="preserve"> Strategically positive — reduces fragmented spectrum lobbying costs and positions AT&amp;T as a participant in the satellite connectivity ecosystem rather than a victim of it.</w:t>
      </w:r>
    </w:p>
    <w:p>
      <w:pPr>
        <w:pStyle w:val="ListBullet"/>
        <w:ind w:left="360" w:hanging="360"/>
      </w:pPr>
      <w:r>
        <w:rPr>
          <w:rFonts w:ascii="Calibri" w:hAnsi="Calibri"/>
          <w:b/>
          <w:color w:val="525866"/>
          <w:sz w:val="22"/>
        </w:rPr>
        <w:t>May 29, 2026 — Q2 2026 Earnings Date Confirmed:</w:t>
      </w:r>
      <w:r>
        <w:rPr>
          <w:rFonts w:ascii="Calibri" w:hAnsi="Calibri"/>
          <w:color w:val="525866"/>
          <w:sz w:val="22"/>
        </w:rPr>
        <w:t xml:space="preserve"> AT&amp;T confirmed July 22, 2026 pre-market earnings release with 8:30 AM ET conference call.</w:t>
      </w:r>
    </w:p>
    <w:p>
      <w:pPr>
        <w:pStyle w:val="ListBullet"/>
        <w:ind w:left="360" w:hanging="360"/>
      </w:pPr>
      <w:r>
        <w:rPr>
          <w:rFonts w:ascii="Calibri" w:hAnsi="Calibri"/>
          <w:b/>
          <w:color w:val="525866"/>
          <w:sz w:val="22"/>
        </w:rPr>
        <w:t>Analyst Rating/PT Activity:</w:t>
      </w:r>
      <w:r>
        <w:rPr>
          <w:rFonts w:ascii="Calibri" w:hAnsi="Calibri"/>
          <w:color w:val="525866"/>
          <w:sz w:val="22"/>
        </w:rPr>
        <w:t xml:space="preserve"> No material AT&amp;T-specific rating changes identified in the research window. Sector-wide PT cuts on VZ (Barclays to $45, Wells Fargo Equal Weight initiation) reflect Starlink fears but are VZ-specific. Morgan Stanley and Bank of America both noted T-Mobile as least exposed to satellite competition, implicitly positive for the sector's terrestrial leaders.</w:t>
      </w:r>
    </w:p>
    <w:p>
      <w:r>
        <w:br w:type="page"/>
      </w:r>
    </w:p>
    <w:p>
      <w:pPr>
        <w:pStyle w:val="Heading2"/>
      </w:pPr>
      <w:r>
        <w:rPr>
          <w:rFonts w:ascii="Calibri" w:hAnsi="Calibri"/>
          <w:b/>
          <w:color w:val="3B4259"/>
          <w:sz w:val="28"/>
        </w:rPr>
        <w:t>7. Insider Transaction Activity</w:t>
      </w:r>
    </w:p>
    <w:p>
      <w:r>
        <w:rPr>
          <w:rFonts w:ascii="Calibri" w:hAnsi="Calibri"/>
          <w:b/>
          <w:color w:val="525866"/>
          <w:sz w:val="22"/>
        </w:rPr>
        <w:t xml:space="preserve">Key Takeaway: </w:t>
      </w:r>
      <w:r>
        <w:rPr>
          <w:rFonts w:ascii="Calibri" w:hAnsi="Calibri"/>
          <w:color w:val="525866"/>
          <w:sz w:val="22"/>
        </w:rPr>
        <w:t>No open-market insider buys or discretionary sells were identified for AT&amp;T in the period since Q1 2026 earnings (April 22 – July 21, 2026) based on available SEC Form 4 data. The absence of insider buying despite a ~14% stock decline is notable but not alarming given the CFO transition and typical pre-earnings quiet periods.</w:t>
      </w:r>
    </w:p>
    <w:tbl>
      <w:tblPr>
        <w:tblStyle w:val="TableGrid"/>
        <w:tblW w:type="auto" w:w="0"/>
        <w:tblLook w:firstColumn="1" w:firstRow="1" w:lastColumn="0" w:lastRow="0" w:noHBand="0" w:noVBand="1" w:val="04A0"/>
      </w:tblPr>
      <w:tblGrid>
        <w:gridCol w:w="1440"/>
        <w:gridCol w:w="1440"/>
        <w:gridCol w:w="1440"/>
        <w:gridCol w:w="1440"/>
        <w:gridCol w:w="1440"/>
        <w:gridCol w:w="1440"/>
      </w:tblGrid>
      <w:tr>
        <w:tc>
          <w:tcPr>
            <w:tcW w:type="dxa" w:w="1440"/>
            <w:shd w:val="clear" w:color="auto" w:fill="3B4259"/>
          </w:tcPr>
          <w:p>
            <w:r>
              <w:rPr>
                <w:rFonts w:ascii="Calibri" w:hAnsi="Calibri"/>
                <w:b/>
                <w:color w:val="FFFFFF"/>
                <w:sz w:val="22"/>
              </w:rPr>
              <w:t>Name</w:t>
            </w:r>
          </w:p>
        </w:tc>
        <w:tc>
          <w:tcPr>
            <w:tcW w:type="dxa" w:w="1440"/>
            <w:shd w:val="clear" w:color="auto" w:fill="3B4259"/>
          </w:tcPr>
          <w:p>
            <w:r>
              <w:rPr>
                <w:rFonts w:ascii="Calibri" w:hAnsi="Calibri"/>
                <w:b/>
                <w:color w:val="FFFFFF"/>
                <w:sz w:val="22"/>
              </w:rPr>
              <w:t>Title</w:t>
            </w:r>
          </w:p>
        </w:tc>
        <w:tc>
          <w:tcPr>
            <w:tcW w:type="dxa" w:w="1440"/>
            <w:shd w:val="clear" w:color="auto" w:fill="3B4259"/>
          </w:tcPr>
          <w:p>
            <w:r>
              <w:rPr>
                <w:rFonts w:ascii="Calibri" w:hAnsi="Calibri"/>
                <w:b/>
                <w:color w:val="FFFFFF"/>
                <w:sz w:val="22"/>
              </w:rPr>
              <w:t>Transaction Type</w:t>
            </w:r>
          </w:p>
        </w:tc>
        <w:tc>
          <w:tcPr>
            <w:tcW w:type="dxa" w:w="1440"/>
            <w:shd w:val="clear" w:color="auto" w:fill="3B4259"/>
          </w:tcPr>
          <w:p>
            <w:r>
              <w:rPr>
                <w:rFonts w:ascii="Calibri" w:hAnsi="Calibri"/>
                <w:b/>
                <w:color w:val="FFFFFF"/>
                <w:sz w:val="22"/>
              </w:rPr>
              <w:t>Value</w:t>
            </w:r>
          </w:p>
        </w:tc>
        <w:tc>
          <w:tcPr>
            <w:tcW w:type="dxa" w:w="1440"/>
            <w:shd w:val="clear" w:color="auto" w:fill="3B4259"/>
          </w:tcPr>
          <w:p>
            <w:r>
              <w:rPr>
                <w:rFonts w:ascii="Calibri" w:hAnsi="Calibri"/>
                <w:b/>
                <w:color w:val="FFFFFF"/>
                <w:sz w:val="22"/>
              </w:rPr>
              <w:t>Date</w:t>
            </w:r>
          </w:p>
        </w:tc>
        <w:tc>
          <w:tcPr>
            <w:tcW w:type="dxa" w:w="1440"/>
            <w:shd w:val="clear" w:color="auto" w:fill="3B4259"/>
          </w:tcPr>
          <w:p>
            <w:r>
              <w:rPr>
                <w:rFonts w:ascii="Calibri" w:hAnsi="Calibri"/>
                <w:b/>
                <w:color w:val="FFFFFF"/>
                <w:sz w:val="22"/>
              </w:rPr>
              <w:t>Note</w:t>
            </w:r>
          </w:p>
        </w:tc>
      </w:tr>
      <w:tr>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N/A</w:t>
            </w:r>
          </w:p>
        </w:tc>
        <w:tc>
          <w:tcPr>
            <w:tcW w:type="dxa" w:w="1440"/>
          </w:tcPr>
          <w:p>
            <w:r>
              <w:rPr>
                <w:rFonts w:ascii="Calibri" w:hAnsi="Calibri"/>
                <w:sz w:val="22"/>
              </w:rPr>
              <w:t>No open-market buys or discretionary sells identified in the Apr 22 – Jul 21, 2026 window per SEC Form 4 data.</w:t>
            </w:r>
          </w:p>
        </w:tc>
      </w:tr>
    </w:tbl>
    <w:p>
      <w:r>
        <w:rPr>
          <w:rFonts w:ascii="Calibri" w:hAnsi="Calibri"/>
          <w:b/>
          <w:color w:val="525866"/>
          <w:sz w:val="22"/>
        </w:rPr>
        <w:t xml:space="preserve">Note: </w:t>
      </w:r>
      <w:r>
        <w:rPr>
          <w:rFonts w:ascii="Calibri" w:hAnsi="Calibri"/>
          <w:color w:val="525866"/>
          <w:sz w:val="22"/>
        </w:rPr>
        <w:t>The SEC Form 4 query for open-market buys (code P) and sells (code S) returned no results for T in the post-Q1 window. This is consistent with typical pre-earnings blackout periods and the CFO transition announcement. No 10b5-1 plan initiations were identified in the available data.</w:t>
      </w:r>
    </w:p>
    <w:p>
      <w:r>
        <w:br w:type="page"/>
      </w:r>
    </w:p>
    <w:p>
      <w:pPr>
        <w:pStyle w:val="Heading2"/>
      </w:pPr>
      <w:r>
        <w:rPr>
          <w:rFonts w:ascii="Calibri" w:hAnsi="Calibri"/>
          <w:b/>
          <w:color w:val="3B4259"/>
          <w:sz w:val="28"/>
        </w:rPr>
        <w:t>8. Peer Commentaries — Q2 2026 Read-Through</w:t>
      </w:r>
    </w:p>
    <w:p>
      <w:r>
        <w:rPr>
          <w:rFonts w:ascii="Calibri" w:hAnsi="Calibri"/>
          <w:b/>
          <w:color w:val="525866"/>
          <w:sz w:val="22"/>
        </w:rPr>
        <w:t xml:space="preserve">Key Takeaway: </w:t>
      </w:r>
      <w:r>
        <w:rPr>
          <w:rFonts w:ascii="Calibri" w:hAnsi="Calibri"/>
          <w:color w:val="525866"/>
          <w:sz w:val="22"/>
        </w:rPr>
        <w:t>Peer commentary from the last 60 days is mixed but net constructive for AT&amp;T: T-Mobile's Evercore conference (June 2) confirmed strong Q2 CLV trends and broadband momentum but delivered a pointed critique of AT&amp;T's fiber convergence strategy; Comcast's Evercore conference (June 2) showed bundling as a churn-reduction tool validating AT&amp;T's convergence thesis; and T-Mobile's explicit dismissal of satellite as a competitive threat to terrestrial networks directly addresses the Starlink fear that has weighed on T's stock.</w:t>
      </w:r>
    </w:p>
    <w:p>
      <w:r>
        <w:rPr>
          <w:rFonts w:ascii="Calibri" w:hAnsi="Calibri"/>
          <w:b/>
          <w:color w:val="525866"/>
          <w:sz w:val="22"/>
        </w:rPr>
        <w:t xml:space="preserve">Methodology: </w:t>
      </w:r>
      <w:r>
        <w:rPr>
          <w:rFonts w:ascii="Calibri" w:hAnsi="Calibri"/>
          <w:color w:val="525866"/>
          <w:sz w:val="22"/>
        </w:rPr>
        <w:t>Only commentary from the last 60 days (May 22 – July 21, 2026) that explicitly addresses Q2 2026 current-quarter conditions or forward outlook is included below. Retrospective Q1-only results commentary is excluded. Sources are labeled with date and AT&amp;T read-through.</w:t>
      </w:r>
    </w:p>
    <w:p>
      <w:pPr>
        <w:pStyle w:val="Heading3"/>
      </w:pPr>
      <w:r>
        <w:rPr>
          <w:rFonts w:ascii="Calibri" w:hAnsi="Calibri"/>
          <w:b/>
          <w:color w:val="3B4259"/>
          <w:sz w:val="24"/>
        </w:rPr>
        <w:t>T-Mobile (TMUS) — Evercore TMT Global Conference, June 2, 2026</w:t>
      </w:r>
    </w:p>
    <w:p>
      <w:r>
        <w:rPr>
          <w:rFonts w:ascii="Calibri" w:hAnsi="Calibri"/>
          <w:b/>
          <w:color w:val="525866"/>
          <w:sz w:val="22"/>
        </w:rPr>
        <w:t xml:space="preserve">Speaker: </w:t>
      </w:r>
      <w:r>
        <w:rPr>
          <w:rFonts w:ascii="Calibri" w:hAnsi="Calibri"/>
          <w:color w:val="525866"/>
          <w:sz w:val="22"/>
        </w:rPr>
        <w:t>Peter Osvaldik, EVP &amp; CFO</w:t>
      </w:r>
    </w:p>
    <w:p>
      <w:pPr>
        <w:pStyle w:val="ListBullet"/>
        <w:ind w:left="360" w:hanging="360"/>
      </w:pPr>
      <w:r>
        <w:rPr>
          <w:rFonts w:ascii="Calibri" w:hAnsi="Calibri"/>
          <w:b/>
          <w:color w:val="525866"/>
          <w:sz w:val="22"/>
        </w:rPr>
        <w:t>Q2 Wireless Competitive Environment (Current Quarter):</w:t>
      </w:r>
      <w:r>
        <w:rPr>
          <w:rFonts w:ascii="Calibri" w:hAnsi="Calibri"/>
          <w:color w:val="525866"/>
          <w:sz w:val="22"/>
        </w:rPr>
        <w:t xml:space="preserve"> Osvaldik confirmed that customer lifetime values (CLVs) were “up double digits year-over-year” in Q1 and that this trend “actually continued into Q2.” He noted that some competitors were using “pretty aggressive device-centric promotions” in Q1 that T-Mobile chose not to match, yet still saw port-in ARPAs 20% higher than port-out ARPAs.</w:t>
      </w:r>
    </w:p>
    <w:p>
      <w:pPr>
        <w:pStyle w:val="ListBullet"/>
        <w:ind w:left="360" w:hanging="360"/>
      </w:pPr>
      <w:r>
        <w:rPr>
          <w:rFonts w:ascii="Calibri" w:hAnsi="Calibri"/>
          <w:b/>
          <w:color w:val="525866"/>
          <w:sz w:val="22"/>
        </w:rPr>
        <w:t>AT&amp;T Read-Through:</w:t>
      </w:r>
      <w:r>
        <w:rPr>
          <w:rFonts w:ascii="Calibri" w:hAnsi="Calibri"/>
          <w:color w:val="525866"/>
          <w:sz w:val="22"/>
        </w:rPr>
        <w:t xml:space="preserve"> Negative for AT&amp;T’s wireless competitive positioning. Osvaldik directly stated that AT&amp;T “just posted the largest year-over-year increase in postpaid phone churn of anybody in the industry” (referring to Q1 2026). If this churn dynamic persists into Q2, it would be a headwind to postpaid phone net adds. However, AT&amp;T management has guided for churn improvement as convergence deepens, and Q1 churn was already flagged as elevated.</w:t>
      </w:r>
    </w:p>
    <w:p>
      <w:pPr>
        <w:pStyle w:val="ListBullet"/>
        <w:ind w:left="360" w:hanging="360"/>
      </w:pPr>
      <w:r>
        <w:rPr>
          <w:rFonts w:ascii="Calibri" w:hAnsi="Calibri"/>
          <w:b/>
          <w:color w:val="525866"/>
          <w:sz w:val="22"/>
        </w:rPr>
        <w:t>Q2 Broadband / Fixed Wireless (Current Quarter):</w:t>
      </w:r>
      <w:r>
        <w:rPr>
          <w:rFonts w:ascii="Calibri" w:hAnsi="Calibri"/>
          <w:color w:val="525866"/>
          <w:sz w:val="22"/>
        </w:rPr>
        <w:t xml:space="preserve"> T-Mobile grew its 5G broadband product “faster in Q1 than we did even a year ago,” with total broadband net additions over 500,000 for Q1. Osvaldik confirmed this momentum is continuing, with T-Mobile having “upped our subscriber target to 15 million subscribers by 2030.” Network speeds have increased 50% despite customer growth, and latest-gen routers deliver “400 megabits a second down over WiFi, which is effectively fiber lived experience over WiFi.”</w:t>
      </w:r>
    </w:p>
    <w:p>
      <w:pPr>
        <w:pStyle w:val="ListBullet"/>
        <w:ind w:left="360" w:hanging="360"/>
      </w:pPr>
      <w:r>
        <w:rPr>
          <w:rFonts w:ascii="Calibri" w:hAnsi="Calibri"/>
          <w:b/>
          <w:color w:val="525866"/>
          <w:sz w:val="22"/>
        </w:rPr>
        <w:t>AT&amp;T Read-Through:</w:t>
      </w:r>
      <w:r>
        <w:rPr>
          <w:rFonts w:ascii="Calibri" w:hAnsi="Calibri"/>
          <w:color w:val="525866"/>
          <w:sz w:val="22"/>
        </w:rPr>
        <w:t xml:space="preserve"> Mixed. T-Mobile’s fixed wireless acceleration is a competitive headwind for AT&amp;T’s broadband net adds, particularly in areas where AT&amp;T has not yet deployed fiber. However, AT&amp;T management has explicitly framed fixed wireless as a bridge product and fiber as the primary offer — the competitive dynamic is most acute in non-fiber footprint areas. Osvaldik also challenged AT&amp;T’s fiber strategy directly: “even in places where our competitors have fiber and are building fiber, our share of postpaid continues to grow,” and stated AT&amp;T’s fiber investments are “not really playing out in terms of some sort of benefit to them.” This is a pointed bear case that the market will be watching Q2 fiber net adds to adjudicate.</w:t>
      </w:r>
    </w:p>
    <w:p>
      <w:pPr>
        <w:pStyle w:val="ListBullet"/>
        <w:ind w:left="360" w:hanging="360"/>
      </w:pPr>
      <w:r>
        <w:rPr>
          <w:rFonts w:ascii="Calibri" w:hAnsi="Calibri"/>
          <w:b/>
          <w:color w:val="525866"/>
          <w:sz w:val="22"/>
        </w:rPr>
        <w:t>Satellite / Direct-to-Device (Forward Outlook):</w:t>
      </w:r>
      <w:r>
        <w:rPr>
          <w:rFonts w:ascii="Calibri" w:hAnsi="Calibri"/>
          <w:color w:val="525866"/>
          <w:sz w:val="22"/>
        </w:rPr>
        <w:t xml:space="preserve"> Osvaldik was unequivocal: “There’s no effective way for them to compete with a terrestrial network.” He cited fundamental physics limitations (signal power, capacity) and noted that D2D traffic on T-Mobile’s network was “0.002% of traffic” in the last week of data. T-Mobile has “no interest in a satellite MVNO.”</w:t>
      </w:r>
    </w:p>
    <w:p>
      <w:pPr>
        <w:pStyle w:val="ListBullet"/>
        <w:ind w:left="360" w:hanging="360"/>
      </w:pPr>
      <w:r>
        <w:rPr>
          <w:rFonts w:ascii="Calibri" w:hAnsi="Calibri"/>
          <w:b/>
          <w:color w:val="525866"/>
          <w:sz w:val="22"/>
        </w:rPr>
        <w:t>AT&amp;T Read-Through:</w:t>
      </w:r>
      <w:r>
        <w:rPr>
          <w:rFonts w:ascii="Calibri" w:hAnsi="Calibri"/>
          <w:color w:val="525866"/>
          <w:sz w:val="22"/>
        </w:rPr>
        <w:t xml:space="preserve"> Strongly positive. T-Mobile’s CFO’s dismissal of satellite as a competitive threat to terrestrial networks directly addresses the Starlink fear that has driven AT&amp;T’s stock down ~14% since Q1 earnings. If the market accepts this framing, the de-rating in T’s stock appears overdone.</w:t>
      </w:r>
    </w:p>
    <w:p>
      <w:pPr>
        <w:pStyle w:val="Heading3"/>
      </w:pPr>
      <w:r>
        <w:rPr>
          <w:rFonts w:ascii="Calibri" w:hAnsi="Calibri"/>
          <w:b/>
          <w:color w:val="3B4259"/>
          <w:sz w:val="24"/>
        </w:rPr>
        <w:t>Comcast (CMCSA) — Evercore TMT Global Conference, June 2, 2026</w:t>
      </w:r>
    </w:p>
    <w:p>
      <w:r>
        <w:rPr>
          <w:rFonts w:ascii="Calibri" w:hAnsi="Calibri"/>
          <w:b/>
          <w:color w:val="525866"/>
          <w:sz w:val="22"/>
        </w:rPr>
        <w:t xml:space="preserve">Speaker: </w:t>
      </w:r>
      <w:r>
        <w:rPr>
          <w:rFonts w:ascii="Calibri" w:hAnsi="Calibri"/>
          <w:color w:val="525866"/>
          <w:sz w:val="22"/>
        </w:rPr>
        <w:t>Matthew Strauss, Chairman, NBCUniversal Media Group</w:t>
      </w:r>
    </w:p>
    <w:p>
      <w:pPr>
        <w:pStyle w:val="ListBullet"/>
        <w:ind w:left="360" w:hanging="360"/>
      </w:pPr>
      <w:r>
        <w:rPr>
          <w:rFonts w:ascii="Calibri" w:hAnsi="Calibri"/>
          <w:b/>
          <w:color w:val="525866"/>
          <w:sz w:val="22"/>
        </w:rPr>
        <w:t>Q2 Streaming / Bundling (Current Quarter):</w:t>
      </w:r>
      <w:r>
        <w:rPr>
          <w:rFonts w:ascii="Calibri" w:hAnsi="Calibri"/>
          <w:color w:val="525866"/>
          <w:sz w:val="22"/>
        </w:rPr>
        <w:t xml:space="preserve"> Strauss confirmed Peacock “will be profitable in Q2, which is a big milestone for the company,” with 46 million subscribers. Comcast is actively using Peacock and NBC inventory as a sales channel to drive broadband and wireless, targeting users within the Comcast footprint with special offers.</w:t>
      </w:r>
    </w:p>
    <w:p>
      <w:pPr>
        <w:pStyle w:val="ListBullet"/>
        <w:ind w:left="360" w:hanging="360"/>
      </w:pPr>
      <w:r>
        <w:rPr>
          <w:rFonts w:ascii="Calibri" w:hAnsi="Calibri"/>
          <w:b/>
          <w:color w:val="525866"/>
          <w:sz w:val="22"/>
        </w:rPr>
        <w:t>AT&amp;T Read-Through:</w:t>
      </w:r>
      <w:r>
        <w:rPr>
          <w:rFonts w:ascii="Calibri" w:hAnsi="Calibri"/>
          <w:color w:val="525866"/>
          <w:sz w:val="22"/>
        </w:rPr>
        <w:t xml:space="preserve"> Modestly negative for AT&amp;T’s broadband competitive positioning. Comcast is using content bundling (Peacock + broadband) as a retention and acquisition tool, which competes directly with AT&amp;T’s convergence strategy (fiber + wireless). However, Comcast’s strategy validates the broader thesis that bundling reduces churn and lowers customer acquisition costs — a dynamic that benefits AT&amp;T’s own convergence approach.</w:t>
      </w:r>
    </w:p>
    <w:p>
      <w:pPr>
        <w:pStyle w:val="ListBullet"/>
        <w:ind w:left="360" w:hanging="360"/>
      </w:pPr>
      <w:r>
        <w:rPr>
          <w:rFonts w:ascii="Calibri" w:hAnsi="Calibri"/>
          <w:b/>
          <w:color w:val="525866"/>
          <w:sz w:val="22"/>
        </w:rPr>
        <w:t>Churn / Bundling Dynamics (Forward Outlook):</w:t>
      </w:r>
      <w:r>
        <w:rPr>
          <w:rFonts w:ascii="Calibri" w:hAnsi="Calibri"/>
          <w:color w:val="525866"/>
          <w:sz w:val="22"/>
        </w:rPr>
        <w:t xml:space="preserve"> Strauss emphasized that “churn is the Achilles heel of any subscription business” and that “bundling could also be very good for a media company because typically, you see lower churn with a bundle and lower cost per acquisition.” Comcast is pursuing bundling deals with Apple, Walmart, Amazon, and Roku.</w:t>
      </w:r>
    </w:p>
    <w:p>
      <w:pPr>
        <w:pStyle w:val="ListBullet"/>
        <w:ind w:left="360" w:hanging="360"/>
      </w:pPr>
      <w:r>
        <w:rPr>
          <w:rFonts w:ascii="Calibri" w:hAnsi="Calibri"/>
          <w:b/>
          <w:color w:val="525866"/>
          <w:sz w:val="22"/>
        </w:rPr>
        <w:t>AT&amp;T Read-Through:</w:t>
      </w:r>
      <w:r>
        <w:rPr>
          <w:rFonts w:ascii="Calibri" w:hAnsi="Calibri"/>
          <w:color w:val="525866"/>
          <w:sz w:val="22"/>
        </w:rPr>
        <w:t xml:space="preserve"> Positive validation of AT&amp;T’s convergence thesis. The industry-wide evidence that bundling reduces churn and improves customer lifetime value supports AT&amp;T’s strategic rationale for its fiber + wireless convergence play. AT&amp;T’s 42–45% convergence rate (fiber customers also taking wireless) is the operational expression of this dynamic.</w:t>
      </w:r>
    </w:p>
    <w:p>
      <w:pPr>
        <w:pStyle w:val="ListBullet"/>
        <w:ind w:left="360" w:hanging="360"/>
      </w:pPr>
      <w:r>
        <w:rPr>
          <w:rFonts w:ascii="Calibri" w:hAnsi="Calibri"/>
          <w:b/>
          <w:color w:val="525866"/>
          <w:sz w:val="22"/>
        </w:rPr>
        <w:t>Broadband Competition (Forward Outlook):</w:t>
      </w:r>
      <w:r>
        <w:rPr>
          <w:rFonts w:ascii="Calibri" w:hAnsi="Calibri"/>
          <w:color w:val="525866"/>
          <w:sz w:val="22"/>
        </w:rPr>
        <w:t xml:space="preserve"> Comcast is leveraging its broadband service by bundling Peacock with “gig subscribers” and using data to target users within the Comcast footprint. The company is focused on “real-time 4K” as a network quality differentiator.</w:t>
      </w:r>
    </w:p>
    <w:p>
      <w:pPr>
        <w:pStyle w:val="ListBullet"/>
        <w:ind w:left="360" w:hanging="360"/>
      </w:pPr>
      <w:r>
        <w:rPr>
          <w:rFonts w:ascii="Calibri" w:hAnsi="Calibri"/>
          <w:b/>
          <w:color w:val="525866"/>
          <w:sz w:val="22"/>
        </w:rPr>
        <w:t>AT&amp;T Read-Through:</w:t>
      </w:r>
      <w:r>
        <w:rPr>
          <w:rFonts w:ascii="Calibri" w:hAnsi="Calibri"/>
          <w:color w:val="525866"/>
          <w:sz w:val="22"/>
        </w:rPr>
        <w:t xml:space="preserve"> Neutral to slightly negative. Comcast’s broadband bundling strategy is a direct competitive response to AT&amp;T’s fiber expansion into cable territory. The competitive intensity in overlapping footprint areas is real, but AT&amp;T management has consistently argued that fiber’s product superiority (speed, reliability, symmetric upload) is a durable advantage.</w:t>
      </w:r>
    </w:p>
    <w:p>
      <w:pPr>
        <w:pStyle w:val="Heading3"/>
      </w:pPr>
      <w:r>
        <w:rPr>
          <w:rFonts w:ascii="Calibri" w:hAnsi="Calibri"/>
          <w:b/>
          <w:color w:val="3B4259"/>
          <w:sz w:val="24"/>
        </w:rPr>
        <w:t>Verizon (VZ) — News / Analyst Commentary, July 8–16, 2026</w:t>
      </w:r>
    </w:p>
    <w:p>
      <w:r>
        <w:rPr>
          <w:rFonts w:ascii="Calibri" w:hAnsi="Calibri"/>
          <w:b/>
          <w:color w:val="525866"/>
          <w:sz w:val="22"/>
        </w:rPr>
        <w:t xml:space="preserve">Source: </w:t>
      </w:r>
      <w:r>
        <w:rPr>
          <w:rFonts w:ascii="Calibri" w:hAnsi="Calibri"/>
          <w:color w:val="525866"/>
          <w:sz w:val="22"/>
        </w:rPr>
        <w:t>News Digest / Analyst Commentary (July 8–16, 2026)</w:t>
      </w:r>
    </w:p>
    <w:p>
      <w:pPr>
        <w:pStyle w:val="ListBullet"/>
        <w:ind w:left="360" w:hanging="360"/>
      </w:pPr>
      <w:r>
        <w:rPr>
          <w:rFonts w:ascii="Calibri" w:hAnsi="Calibri"/>
          <w:b/>
          <w:color w:val="525866"/>
          <w:sz w:val="22"/>
        </w:rPr>
        <w:t>SpaceX Competitive Threat (Current Quarter / Forward Outlook):</w:t>
      </w:r>
      <w:r>
        <w:rPr>
          <w:rFonts w:ascii="Calibri" w:hAnsi="Calibri"/>
          <w:color w:val="525866"/>
          <w:sz w:val="22"/>
        </w:rPr>
        <w:t xml:space="preserve"> Reports on July 8 that SpaceX might enter the mobile phone market triggered an 8.5% single-day decline in VZ. Wells Fargo initiated VZ at Equal Weight citing Starlink as a key competitive threat. Barclays lowered VZ PT to $45 from $47. Morgan Stanley’s Sean Diffley kept VZ at Equal Weight with a $50 PT. Bank of America’s Michael Funk wrote that “T-Mobile is least exposed to the competitive threat” from LEO internet services, noting Starlink “seems to work best in rural and underserved environments.”</w:t>
      </w:r>
    </w:p>
    <w:p>
      <w:pPr>
        <w:pStyle w:val="ListBullet"/>
        <w:ind w:left="360" w:hanging="360"/>
      </w:pPr>
      <w:r>
        <w:rPr>
          <w:rFonts w:ascii="Calibri" w:hAnsi="Calibri"/>
          <w:b/>
          <w:color w:val="525866"/>
          <w:sz w:val="22"/>
        </w:rPr>
        <w:t>AT&amp;T Read-Through:</w:t>
      </w:r>
      <w:r>
        <w:rPr>
          <w:rFonts w:ascii="Calibri" w:hAnsi="Calibri"/>
          <w:color w:val="525866"/>
          <w:sz w:val="22"/>
        </w:rPr>
        <w:t xml:space="preserve"> Mixed but net positive for AT&amp;T’s relative positioning. The sell-off in VZ dragged T lower in sympathy, but the analyst commentary (particularly BofA’s framing of Starlink as a rural/underserved solution) is consistent with AT&amp;T management’s own characterization. AT&amp;T’s existing AST SpaceMobile partnership and participation in the three-carrier D2D JV position it as a satellite ecosystem participant rather than a pure victim. The key question is whether Q2 results can shift the narrative from satellite fear back to fiber execution.</w:t>
      </w:r>
    </w:p>
    <w:p>
      <w:pPr>
        <w:pStyle w:val="ListBullet"/>
        <w:ind w:left="360" w:hanging="360"/>
      </w:pPr>
      <w:r>
        <w:rPr>
          <w:rFonts w:ascii="Calibri" w:hAnsi="Calibri"/>
          <w:b/>
          <w:color w:val="525866"/>
          <w:sz w:val="22"/>
        </w:rPr>
        <w:t>Verizon Retail Restructuring (July 16, 2026):</w:t>
      </w:r>
      <w:r>
        <w:rPr>
          <w:rFonts w:ascii="Calibri" w:hAnsi="Calibri"/>
          <w:color w:val="525866"/>
          <w:sz w:val="22"/>
        </w:rPr>
        <w:t xml:space="preserve"> VZ announced ~3,000 layoffs and divestiture of 274 retail stores to franchise owners, retaining ~1,000 corporate stores.</w:t>
      </w:r>
    </w:p>
    <w:p>
      <w:pPr>
        <w:pStyle w:val="ListBullet"/>
        <w:ind w:left="360" w:hanging="360"/>
      </w:pPr>
      <w:r>
        <w:rPr>
          <w:rFonts w:ascii="Calibri" w:hAnsi="Calibri"/>
          <w:b/>
          <w:color w:val="525866"/>
          <w:sz w:val="22"/>
        </w:rPr>
        <w:t>AT&amp;T Read-Through:</w:t>
      </w:r>
      <w:r>
        <w:rPr>
          <w:rFonts w:ascii="Calibri" w:hAnsi="Calibri"/>
          <w:color w:val="525866"/>
          <w:sz w:val="22"/>
        </w:rPr>
        <w:t xml:space="preserve"> Modestly positive. VZ’s retail footprint reduction may signal a pullback in device-subsidy-led acquisition intensity, which would benefit AT&amp;T’s strategy of shifting toward network-value-led retention (AT&amp;T One Connect). Less VZ retail presence could also reduce competitive pressure in certain markets.</w:t>
      </w:r>
    </w:p>
    <w:p>
      <w:pPr>
        <w:pStyle w:val="Heading3"/>
      </w:pPr>
      <w:r>
        <w:rPr>
          <w:rFonts w:ascii="Calibri" w:hAnsi="Calibri"/>
          <w:b/>
          <w:color w:val="3B4259"/>
          <w:sz w:val="24"/>
        </w:rPr>
        <w:t>T-Mobile (TMUS) — Analyst Commentary, July 14, 2026</w:t>
      </w:r>
    </w:p>
    <w:p>
      <w:r>
        <w:rPr>
          <w:rFonts w:ascii="Calibri" w:hAnsi="Calibri"/>
          <w:b/>
          <w:color w:val="525866"/>
          <w:sz w:val="22"/>
        </w:rPr>
        <w:t xml:space="preserve">Source: </w:t>
      </w:r>
      <w:r>
        <w:rPr>
          <w:rFonts w:ascii="Calibri" w:hAnsi="Calibri"/>
          <w:color w:val="525866"/>
          <w:sz w:val="22"/>
        </w:rPr>
        <w:t>News Digest / Analyst Commentary (July 14, 2026)</w:t>
      </w:r>
    </w:p>
    <w:p>
      <w:pPr>
        <w:pStyle w:val="ListBullet"/>
        <w:ind w:left="360" w:hanging="360"/>
      </w:pPr>
      <w:r>
        <w:rPr>
          <w:rFonts w:ascii="Calibri" w:hAnsi="Calibri"/>
          <w:b/>
          <w:color w:val="525866"/>
          <w:sz w:val="22"/>
        </w:rPr>
        <w:t>T-Mobile Competitive Positioning (Forward Outlook):</w:t>
      </w:r>
      <w:r>
        <w:rPr>
          <w:rFonts w:ascii="Calibri" w:hAnsi="Calibri"/>
          <w:color w:val="525866"/>
          <w:sz w:val="22"/>
        </w:rPr>
        <w:t xml:space="preserve"> Morgan Stanley’s Sean Diffley argued that T-Mobile “offers the fastest growth” along with the “strongest spectrum position” and that the perceived risk of Starlink disrupting U.S. wireless is greater than the actual risk. Bank of America’s Michael Funk wrote that T-Mobile is “least exposed to the competitive threat” from LEO internet services. T-Mobile is trading at 14x 2026 P/E, barely above its five-year low of 13x.</w:t>
      </w:r>
    </w:p>
    <w:p>
      <w:pPr>
        <w:pStyle w:val="ListBullet"/>
        <w:ind w:left="360" w:hanging="360"/>
      </w:pPr>
      <w:r>
        <w:rPr>
          <w:rFonts w:ascii="Calibri" w:hAnsi="Calibri"/>
          <w:b/>
          <w:color w:val="525866"/>
          <w:sz w:val="22"/>
        </w:rPr>
        <w:t>AT&amp;T Read-Through:</w:t>
      </w:r>
      <w:r>
        <w:rPr>
          <w:rFonts w:ascii="Calibri" w:hAnsi="Calibri"/>
          <w:color w:val="525866"/>
          <w:sz w:val="22"/>
        </w:rPr>
        <w:t xml:space="preserve"> Positive for sector sentiment. If analysts are defending T-Mobile’s terrestrial network moat against satellite fears, the same logic applies to AT&amp;T’s fiber and 5G network. The sector-wide de-rating appears sentiment-driven rather than fundamental, and a clean Q2 print from AT&amp;T could catalyze a re-rating.</w:t>
      </w:r>
    </w:p>
    <w:p>
      <w:pPr>
        <w:pStyle w:val="Heading3"/>
      </w:pPr>
      <w:r>
        <w:rPr>
          <w:rFonts w:ascii="Calibri" w:hAnsi="Calibri"/>
          <w:b/>
          <w:color w:val="3B4259"/>
          <w:sz w:val="24"/>
        </w:rPr>
        <w:t>Comcast (CMCSA) — News / Analyst Commentary, July 17–20, 2026</w:t>
      </w:r>
    </w:p>
    <w:p>
      <w:r>
        <w:rPr>
          <w:rFonts w:ascii="Calibri" w:hAnsi="Calibri"/>
          <w:b/>
          <w:color w:val="525866"/>
          <w:sz w:val="22"/>
        </w:rPr>
        <w:t xml:space="preserve">Source: </w:t>
      </w:r>
      <w:r>
        <w:rPr>
          <w:rFonts w:ascii="Calibri" w:hAnsi="Calibri"/>
          <w:color w:val="525866"/>
          <w:sz w:val="22"/>
        </w:rPr>
        <w:t>News Digest / Analyst Commentary (July 17–20, 2026)</w:t>
      </w:r>
    </w:p>
    <w:p>
      <w:pPr>
        <w:pStyle w:val="ListBullet"/>
        <w:ind w:left="360" w:hanging="360"/>
      </w:pPr>
      <w:r>
        <w:rPr>
          <w:rFonts w:ascii="Calibri" w:hAnsi="Calibri"/>
          <w:b/>
          <w:color w:val="525866"/>
          <w:sz w:val="22"/>
        </w:rPr>
        <w:t>Comcast Q2 2026 Preview (Current Quarter):</w:t>
      </w:r>
      <w:r>
        <w:rPr>
          <w:rFonts w:ascii="Calibri" w:hAnsi="Calibri"/>
          <w:color w:val="525866"/>
          <w:sz w:val="22"/>
        </w:rPr>
        <w:t xml:space="preserve"> Analysts expect Comcast Q2 sales to decline 3.6% to ~$29.3B, with EPS falling ~18% to $0.97. Investors are focused on cable and internet businesses (60% of revenue) under siege from phone company fiber competition. Comcast shares are down ~15% YTD, trading at 6.7x forward earnings — one of the lowest valuations in the S&amp;P 500. RBC’s Jonathan Atkin rates CMCSA Sector Perform with a $27 PT; Benchmark’s Matthew Harrigan rates it Buy with a $44 PT.</w:t>
      </w:r>
    </w:p>
    <w:p>
      <w:pPr>
        <w:pStyle w:val="ListBullet"/>
        <w:ind w:left="360" w:hanging="360"/>
      </w:pPr>
      <w:r>
        <w:rPr>
          <w:rFonts w:ascii="Calibri" w:hAnsi="Calibri"/>
          <w:b/>
          <w:color w:val="525866"/>
          <w:sz w:val="22"/>
        </w:rPr>
        <w:t>AT&amp;T Read-Through:</w:t>
      </w:r>
      <w:r>
        <w:rPr>
          <w:rFonts w:ascii="Calibri" w:hAnsi="Calibri"/>
          <w:color w:val="525866"/>
          <w:sz w:val="22"/>
        </w:rPr>
        <w:t xml:space="preserve"> Positive for AT&amp;T’s fiber narrative. Comcast’s expected revenue decline and subscriber pressure from phone company fiber competition (including AT&amp;T) validates that AT&amp;T’s fiber expansion is gaining real traction in cable’s traditional territory. If Comcast reports weak broadband net adds on July 23 (one day after AT&amp;T), it would further validate AT&amp;T’s competitive positioning.</w:t>
      </w:r>
    </w:p>
    <w:p>
      <w:pPr>
        <w:pStyle w:val="ListBullet"/>
        <w:ind w:left="360" w:hanging="360"/>
      </w:pPr>
      <w:r>
        <w:rPr>
          <w:rFonts w:ascii="Calibri" w:hAnsi="Calibri"/>
          <w:b/>
          <w:color w:val="525866"/>
          <w:sz w:val="22"/>
        </w:rPr>
        <w:t>Comcast NBCU Spin-Off (Forward Outlook):</w:t>
      </w:r>
      <w:r>
        <w:rPr>
          <w:rFonts w:ascii="Calibri" w:hAnsi="Calibri"/>
          <w:color w:val="525866"/>
          <w:sz w:val="22"/>
        </w:rPr>
        <w:t xml:space="preserve"> Comcast announced plans to spin off NBCU (NBC, Peacock, Universal Orlando) into a separate company in 2027. This corporate restructuring reduces Comcast’s content bundling advantage over time, potentially weakening its broadband retention tool.</w:t>
      </w:r>
    </w:p>
    <w:p>
      <w:pPr>
        <w:pStyle w:val="ListBullet"/>
        <w:ind w:left="360" w:hanging="360"/>
      </w:pPr>
      <w:r>
        <w:rPr>
          <w:rFonts w:ascii="Calibri" w:hAnsi="Calibri"/>
          <w:b/>
          <w:color w:val="525866"/>
          <w:sz w:val="22"/>
        </w:rPr>
        <w:t>AT&amp;T Read-Through:</w:t>
      </w:r>
      <w:r>
        <w:rPr>
          <w:rFonts w:ascii="Calibri" w:hAnsi="Calibri"/>
          <w:color w:val="525866"/>
          <w:sz w:val="22"/>
        </w:rPr>
        <w:t xml:space="preserve"> Modestly positive long-term. If Comcast’s content bundling advantage diminishes post-spin, AT&amp;T’s fiber + wireless convergence becomes a more differentiated broadband retention tool relative to cable.</w:t>
      </w:r>
    </w:p>
    <w:p>
      <w:pPr>
        <w:pStyle w:val="Heading3"/>
      </w:pPr>
      <w:r>
        <w:rPr>
          <w:rFonts w:ascii="Calibri" w:hAnsi="Calibri"/>
          <w:b/>
          <w:color w:val="3B4259"/>
          <w:sz w:val="24"/>
        </w:rPr>
        <w:t>Peer Commentary Summary Table</w:t>
      </w:r>
    </w:p>
    <w:tbl>
      <w:tblPr>
        <w:tblStyle w:val="TableGrid"/>
        <w:tblW w:type="auto" w:w="0"/>
        <w:tblLook w:firstColumn="1" w:firstRow="1" w:lastColumn="0" w:lastRow="0" w:noHBand="0" w:noVBand="1" w:val="04A0"/>
      </w:tblPr>
      <w:tblGrid>
        <w:gridCol w:w="1728"/>
        <w:gridCol w:w="1728"/>
        <w:gridCol w:w="1728"/>
        <w:gridCol w:w="1728"/>
        <w:gridCol w:w="1728"/>
      </w:tblGrid>
      <w:tr>
        <w:tc>
          <w:tcPr>
            <w:tcW w:type="dxa" w:w="1728"/>
            <w:shd w:val="clear" w:color="auto" w:fill="3B4259"/>
          </w:tcPr>
          <w:p>
            <w:r>
              <w:rPr>
                <w:rFonts w:ascii="Calibri" w:hAnsi="Calibri"/>
                <w:b/>
                <w:color w:val="FFFFFF"/>
                <w:sz w:val="22"/>
              </w:rPr>
              <w:t>Peer</w:t>
            </w:r>
          </w:p>
        </w:tc>
        <w:tc>
          <w:tcPr>
            <w:tcW w:type="dxa" w:w="1728"/>
            <w:shd w:val="clear" w:color="auto" w:fill="3B4259"/>
          </w:tcPr>
          <w:p>
            <w:r>
              <w:rPr>
                <w:rFonts w:ascii="Calibri" w:hAnsi="Calibri"/>
                <w:b/>
                <w:color w:val="FFFFFF"/>
                <w:sz w:val="22"/>
              </w:rPr>
              <w:t>Source / Date</w:t>
            </w:r>
          </w:p>
        </w:tc>
        <w:tc>
          <w:tcPr>
            <w:tcW w:type="dxa" w:w="1728"/>
            <w:shd w:val="clear" w:color="auto" w:fill="3B4259"/>
          </w:tcPr>
          <w:p>
            <w:r>
              <w:rPr>
                <w:rFonts w:ascii="Calibri" w:hAnsi="Calibri"/>
                <w:b/>
                <w:color w:val="FFFFFF"/>
                <w:sz w:val="22"/>
              </w:rPr>
              <w:t>Key Q2 Commentary</w:t>
            </w:r>
          </w:p>
        </w:tc>
        <w:tc>
          <w:tcPr>
            <w:tcW w:type="dxa" w:w="1728"/>
            <w:shd w:val="clear" w:color="auto" w:fill="3B4259"/>
          </w:tcPr>
          <w:p>
            <w:r>
              <w:rPr>
                <w:rFonts w:ascii="Calibri" w:hAnsi="Calibri"/>
                <w:b/>
                <w:color w:val="FFFFFF"/>
                <w:sz w:val="22"/>
              </w:rPr>
              <w:t>AT&amp;T Read-Through</w:t>
            </w:r>
          </w:p>
        </w:tc>
        <w:tc>
          <w:tcPr>
            <w:tcW w:type="dxa" w:w="1728"/>
            <w:shd w:val="clear" w:color="auto" w:fill="3B4259"/>
          </w:tcPr>
          <w:p>
            <w:r>
              <w:rPr>
                <w:rFonts w:ascii="Calibri" w:hAnsi="Calibri"/>
                <w:b/>
                <w:color w:val="FFFFFF"/>
                <w:sz w:val="22"/>
              </w:rPr>
              <w:t>Direction</w:t>
            </w:r>
          </w:p>
        </w:tc>
      </w:tr>
      <w:tr>
        <w:tc>
          <w:tcPr>
            <w:tcW w:type="dxa" w:w="1728"/>
          </w:tcPr>
          <w:p>
            <w:r>
              <w:rPr>
                <w:rFonts w:ascii="Calibri" w:hAnsi="Calibri"/>
                <w:sz w:val="22"/>
              </w:rPr>
              <w:t>T-Mobile (TMUS)</w:t>
            </w:r>
          </w:p>
        </w:tc>
        <w:tc>
          <w:tcPr>
            <w:tcW w:type="dxa" w:w="1728"/>
          </w:tcPr>
          <w:p>
            <w:r>
              <w:rPr>
                <w:rFonts w:ascii="Calibri" w:hAnsi="Calibri"/>
                <w:sz w:val="22"/>
              </w:rPr>
              <w:t>Evercore TMT Conference, June 2, 2026</w:t>
            </w:r>
          </w:p>
        </w:tc>
        <w:tc>
          <w:tcPr>
            <w:tcW w:type="dxa" w:w="1728"/>
          </w:tcPr>
          <w:p>
            <w:r>
              <w:rPr>
                <w:rFonts w:ascii="Calibri" w:hAnsi="Calibri"/>
                <w:sz w:val="22"/>
              </w:rPr>
              <w:t>CLVs up double digits YoY in Q1, trend continued into Q2; broadband net adds &gt;500K in Q1 accelerating; satellite has 0.002% of network traffic</w:t>
            </w:r>
          </w:p>
        </w:tc>
        <w:tc>
          <w:tcPr>
            <w:tcW w:type="dxa" w:w="1728"/>
          </w:tcPr>
          <w:p>
            <w:r>
              <w:rPr>
                <w:rFonts w:ascii="Calibri" w:hAnsi="Calibri"/>
                <w:sz w:val="22"/>
              </w:rPr>
              <w:t>Wireless churn headwind (AT&amp;T had highest YoY churn increase); broadband competition real; satellite fear overblown</w:t>
            </w:r>
          </w:p>
        </w:tc>
        <w:tc>
          <w:tcPr>
            <w:tcW w:type="dxa" w:w="1728"/>
          </w:tcPr>
          <w:p>
            <w:r>
              <w:rPr>
                <w:rFonts w:ascii="Calibri" w:hAnsi="Calibri"/>
                <w:sz w:val="22"/>
              </w:rPr>
              <w:t>Mixed (negative on wireless, positive on satellite)</w:t>
            </w:r>
          </w:p>
        </w:tc>
      </w:tr>
      <w:tr>
        <w:tc>
          <w:tcPr>
            <w:tcW w:type="dxa" w:w="1728"/>
          </w:tcPr>
          <w:p>
            <w:r>
              <w:rPr>
                <w:rFonts w:ascii="Calibri" w:hAnsi="Calibri"/>
                <w:sz w:val="22"/>
              </w:rPr>
              <w:t>Comcast (CMCSA)</w:t>
            </w:r>
          </w:p>
        </w:tc>
        <w:tc>
          <w:tcPr>
            <w:tcW w:type="dxa" w:w="1728"/>
          </w:tcPr>
          <w:p>
            <w:r>
              <w:rPr>
                <w:rFonts w:ascii="Calibri" w:hAnsi="Calibri"/>
                <w:sz w:val="22"/>
              </w:rPr>
              <w:t>Evercore TMT Conference, June 2, 2026</w:t>
            </w:r>
          </w:p>
        </w:tc>
        <w:tc>
          <w:tcPr>
            <w:tcW w:type="dxa" w:w="1728"/>
          </w:tcPr>
          <w:p>
            <w:r>
              <w:rPr>
                <w:rFonts w:ascii="Calibri" w:hAnsi="Calibri"/>
                <w:sz w:val="22"/>
              </w:rPr>
              <w:t>Peacock profitable in Q2; bundling reduces churn and lowers CAC; using content as broadband retention tool</w:t>
            </w:r>
          </w:p>
        </w:tc>
        <w:tc>
          <w:tcPr>
            <w:tcW w:type="dxa" w:w="1728"/>
          </w:tcPr>
          <w:p>
            <w:r>
              <w:rPr>
                <w:rFonts w:ascii="Calibri" w:hAnsi="Calibri"/>
                <w:sz w:val="22"/>
              </w:rPr>
              <w:t>Validates AT&amp;T’s convergence/bundling thesis; Comcast broadband pressure from fiber competition is real</w:t>
            </w:r>
          </w:p>
        </w:tc>
        <w:tc>
          <w:tcPr>
            <w:tcW w:type="dxa" w:w="1728"/>
          </w:tcPr>
          <w:p>
            <w:r>
              <w:rPr>
                <w:rFonts w:ascii="Calibri" w:hAnsi="Calibri"/>
                <w:sz w:val="22"/>
              </w:rPr>
              <w:t>Positive (validates convergence thesis)</w:t>
            </w:r>
          </w:p>
        </w:tc>
      </w:tr>
      <w:tr>
        <w:tc>
          <w:tcPr>
            <w:tcW w:type="dxa" w:w="1728"/>
          </w:tcPr>
          <w:p>
            <w:r>
              <w:rPr>
                <w:rFonts w:ascii="Calibri" w:hAnsi="Calibri"/>
                <w:sz w:val="22"/>
              </w:rPr>
              <w:t>Verizon (VZ)</w:t>
            </w:r>
          </w:p>
        </w:tc>
        <w:tc>
          <w:tcPr>
            <w:tcW w:type="dxa" w:w="1728"/>
          </w:tcPr>
          <w:p>
            <w:r>
              <w:rPr>
                <w:rFonts w:ascii="Calibri" w:hAnsi="Calibri"/>
                <w:sz w:val="22"/>
              </w:rPr>
              <w:t>News / Analyst Commentary, July 8–16, 2026</w:t>
            </w:r>
          </w:p>
        </w:tc>
        <w:tc>
          <w:tcPr>
            <w:tcW w:type="dxa" w:w="1728"/>
          </w:tcPr>
          <w:p>
            <w:r>
              <w:rPr>
                <w:rFonts w:ascii="Calibri" w:hAnsi="Calibri"/>
                <w:sz w:val="22"/>
              </w:rPr>
              <w:t>SpaceX mobile entry fears drove 8.5% VZ decline; VZ cutting 3,000 jobs and divesting 274 stores</w:t>
            </w:r>
          </w:p>
        </w:tc>
        <w:tc>
          <w:tcPr>
            <w:tcW w:type="dxa" w:w="1728"/>
          </w:tcPr>
          <w:p>
            <w:r>
              <w:rPr>
                <w:rFonts w:ascii="Calibri" w:hAnsi="Calibri"/>
                <w:sz w:val="22"/>
              </w:rPr>
              <w:t>Satellite fear appears sentiment-driven; VZ retail pullback may reduce device-subsidy competition</w:t>
            </w:r>
          </w:p>
        </w:tc>
        <w:tc>
          <w:tcPr>
            <w:tcW w:type="dxa" w:w="1728"/>
          </w:tcPr>
          <w:p>
            <w:r>
              <w:rPr>
                <w:rFonts w:ascii="Calibri" w:hAnsi="Calibri"/>
                <w:sz w:val="22"/>
              </w:rPr>
              <w:t>Mixed (negative sentiment, positive competitive)</w:t>
            </w:r>
          </w:p>
        </w:tc>
      </w:tr>
      <w:tr>
        <w:tc>
          <w:tcPr>
            <w:tcW w:type="dxa" w:w="1728"/>
          </w:tcPr>
          <w:p>
            <w:r>
              <w:rPr>
                <w:rFonts w:ascii="Calibri" w:hAnsi="Calibri"/>
                <w:sz w:val="22"/>
              </w:rPr>
              <w:t>T-Mobile (TMUS)</w:t>
            </w:r>
          </w:p>
        </w:tc>
        <w:tc>
          <w:tcPr>
            <w:tcW w:type="dxa" w:w="1728"/>
          </w:tcPr>
          <w:p>
            <w:r>
              <w:rPr>
                <w:rFonts w:ascii="Calibri" w:hAnsi="Calibri"/>
                <w:sz w:val="22"/>
              </w:rPr>
              <w:t>Analyst Commentary, July 14, 2026</w:t>
            </w:r>
          </w:p>
        </w:tc>
        <w:tc>
          <w:tcPr>
            <w:tcW w:type="dxa" w:w="1728"/>
          </w:tcPr>
          <w:p>
            <w:r>
              <w:rPr>
                <w:rFonts w:ascii="Calibri" w:hAnsi="Calibri"/>
                <w:sz w:val="22"/>
              </w:rPr>
              <w:t>Morgan Stanley and BofA defend TMUS terrestrial moat vs. satellite; TMUS at 14x P/E near 5-year low</w:t>
            </w:r>
          </w:p>
        </w:tc>
        <w:tc>
          <w:tcPr>
            <w:tcW w:type="dxa" w:w="1728"/>
          </w:tcPr>
          <w:p>
            <w:r>
              <w:rPr>
                <w:rFonts w:ascii="Calibri" w:hAnsi="Calibri"/>
                <w:sz w:val="22"/>
              </w:rPr>
              <w:t>Sector-wide de-rating appears overdone; clean Q2 print could catalyze re-rating across telecom</w:t>
            </w:r>
          </w:p>
        </w:tc>
        <w:tc>
          <w:tcPr>
            <w:tcW w:type="dxa" w:w="1728"/>
          </w:tcPr>
          <w:p>
            <w:r>
              <w:rPr>
                <w:rFonts w:ascii="Calibri" w:hAnsi="Calibri"/>
                <w:sz w:val="22"/>
              </w:rPr>
              <w:t>Positive (sector sentiment)</w:t>
            </w:r>
          </w:p>
        </w:tc>
      </w:tr>
      <w:tr>
        <w:tc>
          <w:tcPr>
            <w:tcW w:type="dxa" w:w="1728"/>
          </w:tcPr>
          <w:p>
            <w:r>
              <w:rPr>
                <w:rFonts w:ascii="Calibri" w:hAnsi="Calibri"/>
                <w:sz w:val="22"/>
              </w:rPr>
              <w:t>Comcast (CMCSA)</w:t>
            </w:r>
          </w:p>
        </w:tc>
        <w:tc>
          <w:tcPr>
            <w:tcW w:type="dxa" w:w="1728"/>
          </w:tcPr>
          <w:p>
            <w:r>
              <w:rPr>
                <w:rFonts w:ascii="Calibri" w:hAnsi="Calibri"/>
                <w:sz w:val="22"/>
              </w:rPr>
              <w:t>News / Analyst Commentary, July 17–20, 2026</w:t>
            </w:r>
          </w:p>
        </w:tc>
        <w:tc>
          <w:tcPr>
            <w:tcW w:type="dxa" w:w="1728"/>
          </w:tcPr>
          <w:p>
            <w:r>
              <w:rPr>
                <w:rFonts w:ascii="Calibri" w:hAnsi="Calibri"/>
                <w:sz w:val="22"/>
              </w:rPr>
              <w:t>Q2 revenue expected -3.6%; cable/internet under pressure from fiber competition; NBCU spin-off announced</w:t>
            </w:r>
          </w:p>
        </w:tc>
        <w:tc>
          <w:tcPr>
            <w:tcW w:type="dxa" w:w="1728"/>
          </w:tcPr>
          <w:p>
            <w:r>
              <w:rPr>
                <w:rFonts w:ascii="Calibri" w:hAnsi="Calibri"/>
                <w:sz w:val="22"/>
              </w:rPr>
              <w:t>AT&amp;T fiber gaining real traction in cable territory; NBCU spin weakens Comcast’s content bundling advantage long-term</w:t>
            </w:r>
          </w:p>
        </w:tc>
        <w:tc>
          <w:tcPr>
            <w:tcW w:type="dxa" w:w="1728"/>
          </w:tcPr>
          <w:p>
            <w:r>
              <w:rPr>
                <w:rFonts w:ascii="Calibri" w:hAnsi="Calibri"/>
                <w:sz w:val="22"/>
              </w:rPr>
              <w:t>Positive (fiber competitive validation)</w:t>
            </w:r>
          </w:p>
        </w:tc>
      </w:tr>
    </w:tbl>
    <w:p>
      <w:r>
        <w:rPr>
          <w:rFonts w:ascii="Calibri" w:hAnsi="Calibri"/>
          <w:b/>
          <w:color w:val="525866"/>
          <w:sz w:val="22"/>
        </w:rPr>
        <w:t xml:space="preserve">Sources: </w:t>
      </w:r>
      <w:r>
        <w:rPr>
          <w:rFonts w:ascii="Calibri" w:hAnsi="Calibri"/>
          <w:color w:val="525866"/>
          <w:sz w:val="22"/>
        </w:rPr>
        <w:t>T-Mobile Evercore TMT Global Conference transcript (June 2, 2026); Comcast Evercore TMT Global Conference transcript (June 2, 2026); News Digest (July 8–20, 2026) — Barron’s, WSJ, Reuters. Note: Verizon Q2 2026 earnings call transcript was not available in the research window (VZ reports July 24, 2026, after AT&amp;T). Comcast Q2 2026 earnings call transcript was not available (CMCSA reports July 23, 2026, after AT&amp;T). Only pre-earnings conference and analyst commentary is included.</w:t>
      </w:r>
    </w:p>
    <w:sectPr w:rsidR="00FC693F" w:rsidRPr="0006063C" w:rsidSect="00034616">
      <w:headerReference w:type="default" r:id="rId10"/>
      <w:footerReference w:type="default" r:id="rId11"/>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rPr>
        <w:rFonts w:ascii="Calibri" w:hAnsi="Calibri"/>
        <w:i/>
        <w:color w:val="525866"/>
        <w:sz w:val="20"/>
      </w:rPr>
      <w:t>We do the work, you make the call</w:t>
    </w:r>
    <w:r>
      <w:tab/>
    </w:r>
    <w:r>
      <w:rPr>
        <w:rFonts w:ascii="Calibri" w:hAnsi="Calibri"/>
        <w:i/>
        <w:color w:val="FB9120"/>
        <w:sz w:val="20"/>
      </w:rPr>
      <w:t>app.implied.com/trial</w:t>
    </w:r>
  </w:p>
</w:ftr>
</file>

<file path=word/header1.xml><?xml version="1.0" encoding="utf-8"?>
<w:hd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tabs>
        <w:tab w:pos="8640" w:val="right"/>
      </w:tabs>
      <w:spacing w:before="0" w:after="0" w:line="240" w:lineRule="auto"/>
      <w:jc w:val="left"/>
    </w:pPr>
    <w:r>
      <w:drawing>
        <wp:inline xmlns:a="http://schemas.openxmlformats.org/drawingml/2006/main" xmlns:pic="http://schemas.openxmlformats.org/drawingml/2006/picture">
          <wp:extent cx="5486400" cy="274320"/>
          <wp:docPr id="1" name="Picture 1"/>
          <wp:cNvGraphicFramePr>
            <a:graphicFrameLocks noChangeAspect="1"/>
          </wp:cNvGraphicFramePr>
          <a:graphic>
            <a:graphicData uri="http://schemas.openxmlformats.org/drawingml/2006/picture">
              <pic:pic>
                <pic:nvPicPr>
                  <pic:cNvPr id="0" name="ImpliedPromotionalHeader.png"/>
                  <pic:cNvPicPr/>
                </pic:nvPicPr>
                <pic:blipFill>
                  <a:blip r:embed="rId1"/>
                  <a:stretch>
                    <a:fillRect/>
                  </a:stretch>
                </pic:blipFill>
                <pic:spPr>
                  <a:xfrm>
                    <a:off x="0" y="0"/>
                    <a:ext cx="5486400" cy="274320"/>
                  </a:xfrm>
                  <a:prstGeom prst="rect"/>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rPr>
      <w:rFonts w:ascii="Calibri" w:hAnsi="Calibri"/>
      <w:sz w:val="22"/>
    </w:r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 Id="rId10" Type="http://schemas.openxmlformats.org/officeDocument/2006/relationships/header" Target="header1.xml"/><Relationship Id="rId11"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