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dy-earnings-predictions--2026-07-22"/>
    <w:p>
      <w:pPr>
        <w:pStyle w:val="Heading1"/>
      </w:pPr>
      <w:r>
        <w:t xml:space="preserve">TDY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~$5.90 vs. cons $5.77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1.58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1.575B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TDY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operating margin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~22.6% vs. cons ~22.2%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EPS guide (raise)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24.10</m:t>
              </m:r>
              <m:r>
                <m:rPr>
                  <m:sty m:val="p"/>
                </m:rPr>
                <m:t>–</m:t>
              </m:r>
              <m:r>
                <m:t>24.40</m:t>
              </m:r>
              <m:r>
                <m:rPr>
                  <m:sty m:val="p"/>
                </m:rPr>
                <m:t>(</m:t>
              </m:r>
              <m:r>
                <m:t>m</m:t>
              </m:r>
              <m:r>
                <m:t>i</m:t>
              </m:r>
              <m:r>
                <m:t>d</m:t>
              </m:r>
              <m:r>
                <m:t> </m:t>
              </m:r>
            </m:oMath>
            <w:r>
              <w:t xml:space="preserve">24.25) vs. cons ~$24.05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non-GAAP EPS initial guide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6.05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6.15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TDY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Digital Imaging non-GAAP op margin (toward 24% target)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guide/print ~23.6% vs. cons ~23.4% (FY2026 exit)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TDY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+0.5% (FADE)</w:t>
            </w:r>
          </w:p>
        </w:tc>
        <w:tc>
          <w:tcPr/>
          <w:p>
            <w:pPr>
              <w:pStyle w:val="Compact"/>
            </w:pPr>
            <w:r>
              <w:t xml:space="preserve">Likely another beat-and-raise (EPS above the $5.70–5.80 guide, FY lifted toward/above $24.15), which should drive an initial +2% pop. But shares are +25% YTD, near the top of their range, and already ran +3.3% into the print, so much is priced. The Q2 guide already embedded an atypical sequential EPS decline, and the initial Q3 guide is likely conservative/below consensus; with a tough Q2'25 comp (tariff pull-forward) capping organic upside, out-period estimates get only modestly revised up. That out-period math plus elevated valuation makes the day-1 gain partially fade, as it did after the Q1 print (656 -&gt; low-600s).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2026-07-22T01:33:53Z</dcterms:created>
  <dcterms:modified xsi:type="dcterms:W3CDTF">2026-07-22T01:33:53Z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