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TDY (Teledyne Technologies) before writing the preview. Let me gather recent earnings materials, guidance, and news.Let me read the most recent (2026Q1) earnings materials and check for recent news.Let me get the Q4 2025 earnings call (for management color) and recent stock price action.Let me check for any recent news, acquisitions, or catalysts since the Q1 report.I have strong material. Let me do one quick check for any broader news/analyst context on TDY heading into the print.Let me quickly grab the year-ago (Q2 2025) figures for a proper YoY comparison.I now have everything I need. Here's the earnings preview.</w:t>
      </w:r>
    </w:p>
    <w:p>
      <w:r>
        <w:pict>
          <v:rect style="width:0;height:1.5pt" o:hralign="center" o:hrstd="t" o:hr="t"/>
        </w:pict>
      </w:r>
    </w:p>
    <w:bookmarkStart w:id="15" w:name="X16db6e9c63a84526e3efd094d232179241b5277"/>
    <w:p>
      <w:pPr>
        <w:pStyle w:val="Heading1"/>
      </w:pPr>
      <w:r>
        <w:t xml:space="preserve">Teledyne Technologies (TDY) — Q2 2026 Earnings Preview</w:t>
      </w:r>
    </w:p>
    <w:bookmarkStart w:id="9" w:name="X34c6367b44386d60e4e46220417a4903df1d47a"/>
    <w:p>
      <w:pPr>
        <w:pStyle w:val="Heading3"/>
      </w:pPr>
      <w:r>
        <w:t xml:space="preserve">Report date: Wednesday, July 22, 2026 (call 11:00 a.m. ET) | Event: 2026Q2 Earnings Call</w:t>
      </w:r>
    </w:p>
    <w:p>
      <w:r>
        <w:pict>
          <v:rect style="width:0;height:1.5pt" o:hralign="center" o:hrstd="t" o:hr="t"/>
        </w:pict>
      </w:r>
    </w:p>
    <w:bookmarkEnd w:id="9"/>
    <w:bookmarkStart w:id="10" w:name="Xccd0cd2a1e9c6ef2f2c7097f8f85f850d452fe8"/>
    <w:p>
      <w:pPr>
        <w:pStyle w:val="Heading2"/>
      </w:pPr>
      <w:r>
        <w:t xml:space="preserve">1. The Setup</w:t>
      </w:r>
    </w:p>
    <w:p>
      <w:pPr>
        <w:pStyle w:val="FirstParagraph"/>
      </w:pPr>
      <w:r>
        <w:t xml:space="preserve">Teledyne heads into its Q2 print with momentum and a stock near the upper end of its 2026 range. Shares closed at **</w:t>
      </w:r>
      <m:oMath>
        <m:r>
          <m:t>647.52</m:t>
        </m:r>
        <m:r>
          <m:t>o</m:t>
        </m:r>
        <m:r>
          <m:t>n</m:t>
        </m:r>
        <m:r>
          <m:t>J</m:t>
        </m:r>
        <m:r>
          <m:t>u</m:t>
        </m:r>
        <m:r>
          <m:t>l</m:t>
        </m:r>
        <m:r>
          <m:t>y</m:t>
        </m:r>
        <m:r>
          <m:t>21</m:t>
        </m:r>
        <m:r>
          <m:rPr>
            <m:sty m:val="p"/>
          </m:rPr>
          <m:t>*</m:t>
        </m:r>
        <m:r>
          <m:rPr>
            <m:sty m:val="p"/>
          </m:rPr>
          <m:t>*</m:t>
        </m:r>
        <m:r>
          <m:rPr>
            <m:sty m:val="p"/>
          </m:rPr>
          <m:t>,</m:t>
        </m:r>
        <m:r>
          <m:t>u</m:t>
        </m:r>
        <m:r>
          <m:t>p</m:t>
        </m:r>
        <m:r>
          <m:t>r</m:t>
        </m:r>
        <m:r>
          <m:t>o</m:t>
        </m:r>
        <m:r>
          <m:t>u</m:t>
        </m:r>
        <m:r>
          <m:t>g</m:t>
        </m:r>
        <m:r>
          <m:t>h</m:t>
        </m:r>
        <m:r>
          <m:t>l</m:t>
        </m:r>
        <m:r>
          <m:t>y</m:t>
        </m:r>
        <m:r>
          <m:rPr>
            <m:sty m:val="p"/>
          </m:rPr>
          <m:t>*</m:t>
        </m:r>
        <m:r>
          <m:rPr>
            <m:sty m:val="p"/>
          </m:rPr>
          <m:t>*</m:t>
        </m:r>
        <m:r>
          <m:t>25</m:t>
        </m:r>
      </m:oMath>
      <w:r>
        <w:t xml:space="preserve">519 at the start of January). The stock spiked after the January Q4 report (from ~</w:t>
      </w:r>
      <m:oMath>
        <m:r>
          <m:t>566</m:t>
        </m:r>
        <m:r>
          <m:t>t</m:t>
        </m:r>
        <m:r>
          <m:t>o</m:t>
        </m:r>
        <m:r>
          <m:t> </m:t>
        </m:r>
      </m:oMath>
      <w:r>
        <w:t xml:space="preserve">622 in a day), peaked near **</w:t>
      </w:r>
      <m:oMath>
        <m:r>
          <m:t>688</m:t>
        </m:r>
        <m:r>
          <m:t>i</m:t>
        </m:r>
        <m:r>
          <m:t>n</m:t>
        </m:r>
        <m:r>
          <m:t>e</m:t>
        </m:r>
        <m:r>
          <m:t>a</m:t>
        </m:r>
        <m:r>
          <m:t>r</m:t>
        </m:r>
        <m:r>
          <m:t>l</m:t>
        </m:r>
        <m:r>
          <m:t>y</m:t>
        </m:r>
        <m:r>
          <m:t>M</m:t>
        </m:r>
        <m:r>
          <m:t>a</m:t>
        </m:r>
        <m:r>
          <m:t>r</m:t>
        </m:r>
        <m:r>
          <m:t>c</m:t>
        </m:r>
        <m:r>
          <m:t>h</m:t>
        </m:r>
        <m:r>
          <m:rPr>
            <m:sty m:val="p"/>
          </m:rPr>
          <m:t>*</m:t>
        </m:r>
        <m:r>
          <m:rPr>
            <m:sty m:val="p"/>
          </m:rPr>
          <m:t>*</m:t>
        </m:r>
        <m:r>
          <m:rPr>
            <m:sty m:val="p"/>
          </m:rPr>
          <m:t>,</m:t>
        </m:r>
        <m:r>
          <m:t>t</m:t>
        </m:r>
        <m:r>
          <m:t>h</m:t>
        </m:r>
        <m:r>
          <m:t>e</m:t>
        </m:r>
        <m:r>
          <m:t>n</m:t>
        </m:r>
        <m:r>
          <m:t>d</m:t>
        </m:r>
        <m:r>
          <m:t>r</m:t>
        </m:r>
        <m:r>
          <m:t>i</m:t>
        </m:r>
        <m:r>
          <m:t>f</m:t>
        </m:r>
        <m:r>
          <m:t>t</m:t>
        </m:r>
        <m:r>
          <m:t>e</m:t>
        </m:r>
        <m:r>
          <m:t>d</m:t>
        </m:r>
        <m:r>
          <m:t>i</m:t>
        </m:r>
        <m:r>
          <m:t>n</m:t>
        </m:r>
        <m:r>
          <m:t>t</m:t>
        </m:r>
        <m:r>
          <m:t>o</m:t>
        </m:r>
        <m:r>
          <m:t>a</m:t>
        </m:r>
        <m:r>
          <m:t> </m:t>
        </m:r>
      </m:oMath>
      <w:r>
        <w:t xml:space="preserve">600–</w:t>
      </w:r>
      <m:oMath>
        <m:r>
          <m:t>650</m:t>
        </m:r>
        <m:r>
          <m:t>c</m:t>
        </m:r>
        <m:r>
          <m:t>h</m:t>
        </m:r>
        <m:r>
          <m:t>a</m:t>
        </m:r>
        <m:r>
          <m:t>n</m:t>
        </m:r>
        <m:r>
          <m:t>n</m:t>
        </m:r>
        <m:r>
          <m:t>e</m:t>
        </m:r>
        <m:r>
          <m:t>l</m:t>
        </m:r>
        <m:r>
          <m:t>a</m:t>
        </m:r>
        <m:r>
          <m:t>n</m:t>
        </m:r>
        <m:r>
          <m:t>d</m:t>
        </m:r>
        <m:r>
          <m:t>h</m:t>
        </m:r>
        <m:r>
          <m:t>a</m:t>
        </m:r>
        <m:r>
          <m:t>s</m:t>
        </m:r>
        <m:r>
          <m:t>f</m:t>
        </m:r>
        <m:r>
          <m:t>i</m:t>
        </m:r>
        <m:r>
          <m:t>r</m:t>
        </m:r>
        <m:r>
          <m:t>m</m:t>
        </m:r>
        <m:r>
          <m:t>e</m:t>
        </m:r>
        <m:r>
          <m:t>d</m:t>
        </m:r>
        <m:r>
          <m:t>b</m:t>
        </m:r>
        <m:r>
          <m:t>a</m:t>
        </m:r>
        <m:r>
          <m:t>c</m:t>
        </m:r>
        <m:r>
          <m:t>k</m:t>
        </m:r>
        <m:r>
          <m:t>i</m:t>
        </m:r>
        <m:r>
          <m:t>n</m:t>
        </m:r>
        <m:r>
          <m:t>t</m:t>
        </m:r>
        <m:r>
          <m:t>o</m:t>
        </m:r>
        <m:r>
          <m:t>t</m:t>
        </m:r>
        <m:r>
          <m:t>h</m:t>
        </m:r>
        <m:r>
          <m:t>e</m:t>
        </m:r>
        <m:r>
          <m:t>m</m:t>
        </m:r>
        <m:r>
          <m:t>i</m:t>
        </m:r>
        <m:r>
          <m:t>d</m:t>
        </m:r>
        <m:r>
          <m:rPr>
            <m:sty m:val="p"/>
          </m:rPr>
          <m:t>−</m:t>
        </m:r>
      </m:oMath>
      <w:r>
        <w:t xml:space="preserve">640s ahead of the print. That leaves less "cheap valuation" cushion than earlier in the year — expectations are elevated, so the bar is higher than it looks.</w:t>
      </w:r>
    </w:p>
    <w:p>
      <w:pPr>
        <w:pStyle w:val="BodyText"/>
      </w:pPr>
      <w:r>
        <w:t xml:space="preserve">The key question:</w:t>
      </w:r>
      <w:r>
        <w:t xml:space="preserve"> </w:t>
      </w:r>
      <w:r>
        <w:rPr>
          <w:b/>
          <w:bCs/>
        </w:rPr>
        <w:t xml:space="preserve">can Teledyne extend its Q1 beat-and-raise, and does management raise the full-year guide again?</w:t>
      </w:r>
      <w:r>
        <w:t xml:space="preserve"> </w:t>
      </w:r>
      <w:r>
        <w:t xml:space="preserve">Q1 came in well ahead of guidance and management lifted the FY26 outlook. The market will want to see the second consecutive quarter of the "everything is working at once" story that Executive Chairman Robert Mehrabian has been selling.</w:t>
      </w:r>
    </w:p>
    <w:p>
      <w:r>
        <w:pict>
          <v:rect style="width:0;height:1.5pt" o:hralign="center" o:hrstd="t" o:hr="t"/>
        </w:pict>
      </w:r>
    </w:p>
    <w:bookmarkEnd w:id="10"/>
    <w:bookmarkStart w:id="11" w:name="Xcea81b60316b5c0c95330dfc0fe41a6ef9fabfa"/>
    <w:p>
      <w:pPr>
        <w:pStyle w:val="Heading2"/>
      </w:pPr>
      <w:r>
        <w:t xml:space="preserve">2. What Guidance Implies for Q2</w:t>
      </w:r>
    </w:p>
    <w:p>
      <w:pPr>
        <w:pStyle w:val="FirstParagraph"/>
      </w:pPr>
      <w:r>
        <w:t xml:space="preserve">Management's guidance (set with the Q1 release in April) frames the quarter: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Q2 2025 Actual</w:t>
            </w:r>
          </w:p>
        </w:tc>
        <w:tc>
          <w:tcPr/>
          <w:p>
            <w:pPr>
              <w:pStyle w:val="Compact"/>
            </w:pPr>
            <w:r>
              <w:t xml:space="preserve">Implied YoY</w:t>
            </w:r>
          </w:p>
        </w:tc>
      </w:tr>
      <w:tr>
        <w:tc>
          <w:tcPr/>
          <w:p>
            <w:pPr>
              <w:pStyle w:val="Compact"/>
            </w:pPr>
            <w:r>
              <w:t xml:space="preserve">GAAP diluted EPS</w:t>
            </w:r>
          </w:p>
        </w:tc>
        <w:tc>
          <w:tcPr/>
          <w:p>
            <w:pPr>
              <w:pStyle w:val="Compact"/>
            </w:pPr>
            <w:r>
              <w:t xml:space="preserve">$4.75 – $4.90</w:t>
            </w:r>
          </w:p>
        </w:tc>
        <w:tc>
          <w:tcPr/>
          <w:p>
            <w:pPr>
              <w:pStyle w:val="Compact"/>
            </w:pPr>
            <w:r>
              <w:t xml:space="preserve">$4.43</w:t>
            </w:r>
          </w:p>
        </w:tc>
        <w:tc>
          <w:tcPr/>
          <w:p>
            <w:pPr>
              <w:pStyle w:val="Compact"/>
            </w:pPr>
            <w:r>
              <w:t xml:space="preserve">~+9% (midpoint)</w:t>
            </w:r>
          </w:p>
        </w:tc>
      </w:tr>
      <w:tr>
        <w:tc>
          <w:tcPr/>
          <w:p>
            <w:pPr>
              <w:pStyle w:val="Compact"/>
            </w:pPr>
            <w:r>
              <w:t xml:space="preserve">Non-GAAP diluted EPS</w:t>
            </w:r>
          </w:p>
        </w:tc>
        <w:tc>
          <w:tcPr/>
          <w:p>
            <w:pPr>
              <w:pStyle w:val="Compact"/>
            </w:pPr>
            <w:r>
              <w:t xml:space="preserve">$5.70 – $5.80</w:t>
            </w:r>
          </w:p>
        </w:tc>
        <w:tc>
          <w:tcPr/>
          <w:p>
            <w:pPr>
              <w:pStyle w:val="Compact"/>
            </w:pPr>
            <w:r>
              <w:t xml:space="preserve">$5.20</w:t>
            </w:r>
          </w:p>
        </w:tc>
        <w:tc>
          <w:tcPr/>
          <w:p>
            <w:pPr>
              <w:pStyle w:val="Compact"/>
            </w:pPr>
            <w:r>
              <w:t xml:space="preserve">~+11% (midpoint)</w:t>
            </w:r>
          </w:p>
        </w:tc>
      </w:tr>
    </w:tbl>
    <w:p>
      <w:pPr>
        <w:pStyle w:val="BodyText"/>
      </w:pPr>
      <w:r>
        <w:t xml:space="preserve">For context, Q2 2025 was itself a record quarter —</w:t>
      </w:r>
      <w:r>
        <w:t xml:space="preserve"> </w:t>
      </w:r>
      <w:r>
        <w:rPr>
          <w:b/>
          <w:bCs/>
        </w:rPr>
        <w:t xml:space="preserve">net sales of $1,513.7M (+10.2%)</w:t>
      </w:r>
      <w:r>
        <w:t xml:space="preserve">, GAAP EPS $4.43, non-GAAP EPS $5.20, with non-GAAP operating margin of 22.2%. Note the tough comp caveat: management flagged last year that Q2 2025 "likely benefited from a degree of accelerated demand" (tariff-driven pull-forward), which is worth remembering when judging this year's organic growth.</w:t>
      </w:r>
    </w:p>
    <w:p>
      <w:pPr>
        <w:pStyle w:val="BodyText"/>
      </w:pPr>
      <w:r>
        <w:rPr>
          <w:b/>
          <w:bCs/>
        </w:rPr>
        <w:t xml:space="preserve">Full-year 2026 framework (raised at Q1):</w:t>
      </w:r>
    </w:p>
    <w:p>
      <w:pPr>
        <w:pStyle w:val="Compact"/>
        <w:numPr>
          <w:ilvl w:val="0"/>
          <w:numId w:val="1001"/>
        </w:numPr>
      </w:pPr>
      <w:r>
        <w:t xml:space="preserve">GAAP EPS:</w:t>
      </w:r>
      <w:r>
        <w:t xml:space="preserve"> </w:t>
      </w:r>
      <w:r>
        <w:rPr>
          <w:b/>
          <w:bCs/>
        </w:rPr>
        <w:t xml:space="preserve">$20.08 – $20.44</w:t>
      </w:r>
      <w:r>
        <w:t xml:space="preserve"> </w:t>
      </w:r>
      <w:r>
        <w:t xml:space="preserve">(up from original $19.76 – $20.22)</w:t>
      </w:r>
    </w:p>
    <w:p>
      <w:pPr>
        <w:pStyle w:val="Compact"/>
        <w:numPr>
          <w:ilvl w:val="0"/>
          <w:numId w:val="1001"/>
        </w:numPr>
      </w:pPr>
      <w:r>
        <w:t xml:space="preserve">Non-GAAP EPS:</w:t>
      </w:r>
      <w:r>
        <w:t xml:space="preserve"> </w:t>
      </w:r>
      <w:r>
        <w:rPr>
          <w:b/>
          <w:bCs/>
        </w:rPr>
        <w:t xml:space="preserve">$23.85 – $24.15</w:t>
      </w:r>
      <w:r>
        <w:t xml:space="preserve"> </w:t>
      </w:r>
      <w:r>
        <w:t xml:space="preserve">(up from original $23.45 – $23.85)</w:t>
      </w:r>
    </w:p>
    <w:p>
      <w:pPr>
        <w:pStyle w:val="Compact"/>
        <w:numPr>
          <w:ilvl w:val="0"/>
          <w:numId w:val="1001"/>
        </w:numPr>
      </w:pPr>
      <w:r>
        <w:t xml:space="preserve">Revenue: ~</w:t>
      </w:r>
      <w:r>
        <w:rPr>
          <w:b/>
          <w:bCs/>
        </w:rPr>
        <w:t xml:space="preserve">$6.37 billion</w:t>
      </w:r>
      <w:r>
        <w:t xml:space="preserve"> </w:t>
      </w:r>
      <w:r>
        <w:t xml:space="preserve">(per January framework), ~4% total growth (~3.6% organic + ~4.2% from acquisitions, later normalized)</w:t>
      </w:r>
    </w:p>
    <w:p>
      <w:pPr>
        <w:pStyle w:val="Compact"/>
        <w:numPr>
          <w:ilvl w:val="0"/>
          <w:numId w:val="1001"/>
        </w:numPr>
      </w:pPr>
      <w:r>
        <w:t xml:space="preserve">Seasonality: management guides to ~</w:t>
      </w:r>
      <w:r>
        <w:rPr>
          <w:b/>
          <w:bCs/>
        </w:rPr>
        <w:t xml:space="preserve">48% of sales / 46% of earnings in H1</w:t>
      </w:r>
      <w:r>
        <w:t xml:space="preserve">, so a stronger H2 is baked in.</w:t>
      </w:r>
    </w:p>
    <w:p>
      <w:pPr>
        <w:pStyle w:val="FirstParagraph"/>
      </w:pPr>
      <w:r>
        <w:rPr>
          <w:b/>
          <w:bCs/>
        </w:rPr>
        <w:t xml:space="preserve">What to watch:</w:t>
      </w:r>
      <w:r>
        <w:t xml:space="preserve"> </w:t>
      </w:r>
      <w:r>
        <w:t xml:space="preserve">Q1 2026 non-GAAP EPS grew</w:t>
      </w:r>
      <w:r>
        <w:t xml:space="preserve"> </w:t>
      </w:r>
      <w:r>
        <w:rPr>
          <w:b/>
          <w:bCs/>
        </w:rPr>
        <w:t xml:space="preserve">17.2%</w:t>
      </w:r>
      <w:r>
        <w:t xml:space="preserve"> </w:t>
      </w:r>
      <w:r>
        <w:t xml:space="preserve">(to $5.80) and beat the high end of guidance handily. If Q2 replicates that beat cadence, another FY guide raise is likely. Failure to raise — or only a token raise — could disappoint given the run in the shares.</w:t>
      </w:r>
    </w:p>
    <w:p>
      <w:r>
        <w:pict>
          <v:rect style="width:0;height:1.5pt" o:hralign="center" o:hrstd="t" o:hr="t"/>
        </w:pict>
      </w:r>
    </w:p>
    <w:bookmarkEnd w:id="11"/>
    <w:bookmarkStart w:id="12" w:name="Xaed64807af963ef4a0465033a86b6b54ca66a96"/>
    <w:p>
      <w:pPr>
        <w:pStyle w:val="Heading2"/>
      </w:pPr>
      <w:r>
        <w:t xml:space="preserve">3. Segment Watch Items</w:t>
      </w:r>
    </w:p>
    <w:p>
      <w:pPr>
        <w:pStyle w:val="FirstParagraph"/>
      </w:pPr>
      <w:r>
        <w:t xml:space="preserve">Teledyne runs four segments. Recent trajectory (Q1 2026 YoY):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pPr>
            <w:r>
              <w:t xml:space="preserve">Q1'26 Sales</w:t>
            </w:r>
          </w:p>
        </w:tc>
        <w:tc>
          <w:tcPr/>
          <w:p>
            <w:pPr>
              <w:pStyle w:val="Compact"/>
            </w:pPr>
            <w:r>
              <w:t xml:space="preserve">YoY</w:t>
            </w:r>
          </w:p>
        </w:tc>
        <w:tc>
          <w:tcPr/>
          <w:p>
            <w:pPr>
              <w:pStyle w:val="Compact"/>
            </w:pPr>
            <w:r>
              <w:t xml:space="preserve">Key dynamic</w:t>
            </w:r>
          </w:p>
        </w:tc>
      </w:tr>
      <w:tr>
        <w:tc>
          <w:tcPr/>
          <w:p>
            <w:pPr>
              <w:pStyle w:val="Compact"/>
            </w:pPr>
            <w:r>
              <w:rPr>
                <w:b/>
                <w:bCs/>
              </w:rPr>
              <w:t xml:space="preserve">Digital Imaging</w:t>
            </w:r>
            <w:r>
              <w:t xml:space="preserve"> </w:t>
            </w:r>
            <w:r>
              <w:t xml:space="preserve">(~52% of sales)</w:t>
            </w:r>
          </w:p>
        </w:tc>
        <w:tc>
          <w:tcPr/>
          <w:p>
            <w:pPr>
              <w:pStyle w:val="Compact"/>
            </w:pPr>
            <w:r>
              <w:t xml:space="preserve">$816.9M</w:t>
            </w:r>
          </w:p>
        </w:tc>
        <w:tc>
          <w:tcPr/>
          <w:p>
            <w:pPr>
              <w:pStyle w:val="Compact"/>
            </w:pPr>
            <w:r>
              <w:t xml:space="preserve">+7.9%</w:t>
            </w:r>
          </w:p>
        </w:tc>
        <w:tc>
          <w:tcPr/>
          <w:p>
            <w:pPr>
              <w:pStyle w:val="Compact"/>
            </w:pPr>
            <w:r>
              <w:t xml:space="preserve">FLIR/infrared + unmanned engine of growth</w:t>
            </w:r>
          </w:p>
        </w:tc>
      </w:tr>
      <w:tr>
        <w:tc>
          <w:tcPr/>
          <w:p>
            <w:pPr>
              <w:pStyle w:val="Compact"/>
            </w:pPr>
            <w:r>
              <w:rPr>
                <w:b/>
                <w:bCs/>
              </w:rPr>
              <w:t xml:space="preserve">Instrumentation</w:t>
            </w:r>
          </w:p>
        </w:tc>
        <w:tc>
          <w:tcPr/>
          <w:p>
            <w:pPr>
              <w:pStyle w:val="Compact"/>
            </w:pPr>
            <w:r>
              <w:t xml:space="preserve">$361.4M</w:t>
            </w:r>
          </w:p>
        </w:tc>
        <w:tc>
          <w:tcPr/>
          <w:p>
            <w:pPr>
              <w:pStyle w:val="Compact"/>
            </w:pPr>
            <w:r>
              <w:t xml:space="preserve">+5.3%</w:t>
            </w:r>
          </w:p>
        </w:tc>
        <w:tc>
          <w:tcPr/>
          <w:p>
            <w:pPr>
              <w:pStyle w:val="Compact"/>
            </w:pPr>
            <w:r>
              <w:t xml:space="preserve">Marine strong; margin dipped on mix</w:t>
            </w:r>
          </w:p>
        </w:tc>
      </w:tr>
      <w:tr>
        <w:tc>
          <w:tcPr/>
          <w:p>
            <w:pPr>
              <w:pStyle w:val="Compact"/>
            </w:pPr>
            <w:r>
              <w:rPr>
                <w:b/>
                <w:bCs/>
              </w:rPr>
              <w:t xml:space="preserve">Aerospace &amp; Defense Electronics</w:t>
            </w:r>
          </w:p>
        </w:tc>
        <w:tc>
          <w:tcPr/>
          <w:p>
            <w:pPr>
              <w:pStyle w:val="Compact"/>
            </w:pPr>
            <w:r>
              <w:t xml:space="preserve">$277.5M</w:t>
            </w:r>
          </w:p>
        </w:tc>
        <w:tc>
          <w:tcPr/>
          <w:p>
            <w:pPr>
              <w:pStyle w:val="Compact"/>
            </w:pPr>
            <w:r>
              <w:t xml:space="preserve">+14.4%</w:t>
            </w:r>
          </w:p>
        </w:tc>
        <w:tc>
          <w:tcPr/>
          <w:p>
            <w:pPr>
              <w:pStyle w:val="Compact"/>
            </w:pPr>
            <w:r>
              <w:t xml:space="preserve">Qioptiq/Micropac acquisitions + organic defense</w:t>
            </w:r>
          </w:p>
        </w:tc>
      </w:tr>
      <w:tr>
        <w:tc>
          <w:tcPr/>
          <w:p>
            <w:pPr>
              <w:pStyle w:val="Compact"/>
            </w:pPr>
            <w:r>
              <w:rPr>
                <w:b/>
                <w:bCs/>
              </w:rPr>
              <w:t xml:space="preserve">Engineered Systems</w:t>
            </w:r>
          </w:p>
        </w:tc>
        <w:tc>
          <w:tcPr/>
          <w:p>
            <w:pPr>
              <w:pStyle w:val="Compact"/>
            </w:pPr>
            <w:r>
              <w:t xml:space="preserve">$104.3M</w:t>
            </w:r>
          </w:p>
        </w:tc>
        <w:tc>
          <w:tcPr/>
          <w:p>
            <w:pPr>
              <w:pStyle w:val="Compact"/>
            </w:pPr>
            <w:r>
              <w:t xml:space="preserve">−2.6%</w:t>
            </w:r>
          </w:p>
        </w:tc>
        <w:tc>
          <w:tcPr/>
          <w:p>
            <w:pPr>
              <w:pStyle w:val="Compact"/>
            </w:pPr>
            <w:r>
              <w:t xml:space="preserve">Lumpy; program timing</w:t>
            </w:r>
          </w:p>
        </w:tc>
      </w:tr>
    </w:tbl>
    <w:p>
      <w:pPr>
        <w:pStyle w:val="BodyText"/>
      </w:pPr>
      <w:r>
        <w:rPr>
          <w:b/>
          <w:bCs/>
        </w:rPr>
        <w:t xml:space="preserve">Digital Imaging (the swing factor).</w:t>
      </w:r>
      <w:r>
        <w:t xml:space="preserve"> </w:t>
      </w:r>
      <w:r>
        <w:t xml:space="preserve">This is the margin story. FY2025 DI non-GAAP margin was ~22.6%; management targets **~23.4% in 2026** with a stretch goal of</w:t>
      </w:r>
      <w:r>
        <w:t xml:space="preserve"> </w:t>
      </w:r>
      <w:r>
        <w:rPr>
          <w:b/>
          <w:bCs/>
        </w:rPr>
        <w:t xml:space="preserve">24%</w:t>
      </w:r>
      <w:r>
        <w:t xml:space="preserve">. Q4 2025 already hit &gt;24% (aided ~50 bps by a contingent-liability reversal). Watch the Q2 margin print and the exit-rate commentary — DI margin expansion is the single biggest lever on the FY beat. Growth drivers: cooled/uncooled infrared detectors, FLIR surveillance/unmanned systems, marine imaging, plus a nascent recovery in machine vision (semiconductor mask/wafer inspection). X-ray is guided</w:t>
      </w:r>
      <w:r>
        <w:t xml:space="preserve"> </w:t>
      </w:r>
      <w:r>
        <w:rPr>
          <w:b/>
          <w:bCs/>
        </w:rPr>
        <w:t xml:space="preserve">flat</w:t>
      </w:r>
      <w:r>
        <w:t xml:space="preserve"> </w:t>
      </w:r>
      <w:r>
        <w:t xml:space="preserve">in 2026 (no recovery baked in) — any upside there is a positive surprise.</w:t>
      </w:r>
    </w:p>
    <w:p>
      <w:pPr>
        <w:pStyle w:val="BodyText"/>
      </w:pPr>
      <w:r>
        <w:rPr>
          <w:b/>
          <w:bCs/>
        </w:rPr>
        <w:t xml:space="preserve">Instrumentation.</w:t>
      </w:r>
      <w:r>
        <w:t xml:space="preserve"> </w:t>
      </w:r>
      <w:r>
        <w:t xml:space="preserve">Marine has been the standout (AUVs at record levels, offshore energy interconnects, Virginia/Columbia-class submarine content). Note Q1 operating income</w:t>
      </w:r>
      <w:r>
        <w:t xml:space="preserve"> </w:t>
      </w:r>
      <w:r>
        <w:rPr>
          <w:i/>
          <w:iCs/>
        </w:rPr>
        <w:t xml:space="preserve">fell</w:t>
      </w:r>
      <w:r>
        <w:t xml:space="preserve"> </w:t>
      </w:r>
      <w:r>
        <w:t xml:space="preserve">4.6% YoY on unfavorable mix despite higher sales — watch whether margin normalizes. Environmental instruments benefit from gas detection and the newly acquired</w:t>
      </w:r>
      <w:r>
        <w:t xml:space="preserve"> </w:t>
      </w:r>
      <w:r>
        <w:rPr>
          <w:b/>
          <w:bCs/>
        </w:rPr>
        <w:t xml:space="preserve">DD-Scientific</w:t>
      </w:r>
      <w:r>
        <w:t xml:space="preserve"> </w:t>
      </w:r>
      <w:r>
        <w:t xml:space="preserve">(U.K. electrochemical gas sensors, a high-recurring-revenue consumable). Test &amp; measurement (oscilloscopes, protocol/Ethernet test) is recovering off a low base; management flagged a slower start in protocol analyzers tied to chipmaker timing.</w:t>
      </w:r>
    </w:p>
    <w:p>
      <w:pPr>
        <w:pStyle w:val="BodyText"/>
      </w:pPr>
      <w:r>
        <w:rPr>
          <w:b/>
          <w:bCs/>
        </w:rPr>
        <w:t xml:space="preserve">Aerospace &amp; Defense Electronics.</w:t>
      </w:r>
      <w:r>
        <w:t xml:space="preserve"> </w:t>
      </w:r>
      <w:r>
        <w:t xml:space="preserve">Strongest reported growth, boosted by the Qioptiq and Micropac acquisitions. As those anniversary (they closed in 2025), organic growth clarity becomes the focus. This segment had the best book-to-bill (1.25 in Q4).</w:t>
      </w:r>
    </w:p>
    <w:p>
      <w:pPr>
        <w:pStyle w:val="BodyText"/>
      </w:pPr>
      <w:r>
        <w:rPr>
          <w:b/>
          <w:bCs/>
        </w:rPr>
        <w:t xml:space="preserve">Engineered Systems.</w:t>
      </w:r>
      <w:r>
        <w:t xml:space="preserve"> </w:t>
      </w:r>
      <w:r>
        <w:t xml:space="preserve">Small and lumpy; contract-award timing swings the quarter.</w:t>
      </w:r>
    </w:p>
    <w:p>
      <w:r>
        <w:pict>
          <v:rect style="width:0;height:1.5pt" o:hralign="center" o:hrstd="t" o:hr="t"/>
        </w:pict>
      </w:r>
    </w:p>
    <w:bookmarkEnd w:id="12"/>
    <w:bookmarkStart w:id="13" w:name="Xd008496d1ea02fbec16a2625d30bde2d3631390"/>
    <w:p>
      <w:pPr>
        <w:pStyle w:val="Heading2"/>
      </w:pPr>
      <w:r>
        <w:t xml:space="preserve">4. Key Catalysts &amp; Themes to Listen For</w:t>
      </w:r>
    </w:p>
    <w:p>
      <w:pPr>
        <w:numPr>
          <w:ilvl w:val="0"/>
          <w:numId w:val="1002"/>
        </w:numPr>
      </w:pPr>
      <w:r>
        <w:rPr>
          <w:b/>
          <w:bCs/>
        </w:rPr>
        <w:t xml:space="preserve">Orders / book-to-bill.</w:t>
      </w:r>
      <w:r>
        <w:t xml:space="preserve"> </w:t>
      </w:r>
      <w:r>
        <w:t xml:space="preserve">Consistently &gt;1 (FY2025 ~1.08; Q4 2025: A&amp;D 1.25, DI 1.06, Instrumentation ~1.0). A book-to-bill above 1 across segments would reinforce the second-half acceleration thesis.</w:t>
      </w:r>
    </w:p>
    <w:p>
      <w:pPr>
        <w:numPr>
          <w:ilvl w:val="0"/>
          <w:numId w:val="1002"/>
        </w:numPr>
      </w:pPr>
      <w:r>
        <w:rPr>
          <w:b/>
          <w:bCs/>
        </w:rPr>
        <w:t xml:space="preserve">Unmanned &amp; defense (the growth narrative).</w:t>
      </w:r>
      <w:r>
        <w:t xml:space="preserve"> </w:t>
      </w:r>
      <w:r>
        <w:t xml:space="preserve">Combined unmanned (air/ground/underwater) was ~</w:t>
      </w:r>
      <m:oMath>
        <m:r>
          <m:t>500</m:t>
        </m:r>
        <m:r>
          <m:t>M</m:t>
        </m:r>
        <m:r>
          <m:t>i</m:t>
        </m:r>
        <m:r>
          <m:t>n</m:t>
        </m:r>
        <m:r>
          <m:t>2025</m:t>
        </m:r>
        <m:r>
          <m:rPr>
            <m:sty m:val="p"/>
          </m:rPr>
          <m:t>*</m:t>
        </m:r>
        <m:r>
          <m:rPr>
            <m:sty m:val="p"/>
          </m:rPr>
          <m:t>*</m:t>
        </m:r>
        <m:r>
          <m:rPr>
            <m:sty m:val="p"/>
          </m:rPr>
          <m:t>,</m:t>
        </m:r>
        <m:r>
          <m:t>g</m:t>
        </m:r>
        <m:r>
          <m:t>u</m:t>
        </m:r>
        <m:r>
          <m:t>i</m:t>
        </m:r>
        <m:r>
          <m:t>d</m:t>
        </m:r>
        <m:r>
          <m:t>e</m:t>
        </m:r>
        <m:r>
          <m:t>d</m:t>
        </m:r>
        <m:r>
          <m:t>t</m:t>
        </m:r>
        <m:r>
          <m:t>o</m:t>
        </m:r>
        <m:r>
          <m:t> </m:t>
        </m:r>
        <m:r>
          <m:rPr>
            <m:sty m:val="p"/>
          </m:rPr>
          <m:t>*</m:t>
        </m:r>
        <m:r>
          <m:rPr>
            <m:sty m:val="p"/>
          </m:rPr>
          <m:t>*</m:t>
        </m:r>
      </m:oMath>
      <w:r>
        <w:rPr>
          <w:b/>
          <w:bCs/>
        </w:rPr>
        <w:t xml:space="preserve">550M</w:t>
      </w:r>
      <w:r>
        <w:t xml:space="preserve"> </w:t>
      </w:r>
      <w:r>
        <w:t xml:space="preserve">in 2026. Watch for updates on:</w:t>
      </w:r>
    </w:p>
    <w:p>
      <w:pPr>
        <w:pStyle w:val="Compact"/>
        <w:numPr>
          <w:ilvl w:val="1"/>
          <w:numId w:val="1003"/>
        </w:numPr>
      </w:pPr>
      <w:r>
        <w:rPr>
          <w:b/>
          <w:bCs/>
        </w:rPr>
        <w:t xml:space="preserve">Space Development Agency Tranche 3 Tracking Layer</w:t>
      </w:r>
      <w:r>
        <w:t xml:space="preserve"> </w:t>
      </w:r>
      <w:r>
        <w:t xml:space="preserve">— Teledyne supplies infrared detectors to 3 of 4 primes; management sized it at</w:t>
      </w:r>
      <w:r>
        <w:t xml:space="preserve"> </w:t>
      </w:r>
      <w:r>
        <w:rPr>
          <w:b/>
          <w:bCs/>
        </w:rPr>
        <w:t xml:space="preserve">&gt;$100M over a few years</w:t>
      </w:r>
      <w:r>
        <w:t xml:space="preserve"> </w:t>
      </w:r>
      <w:r>
        <w:t xml:space="preserve">and positions it as</w:t>
      </w:r>
      <w:r>
        <w:t xml:space="preserve"> </w:t>
      </w:r>
      <w:r>
        <w:rPr>
          <w:b/>
          <w:bCs/>
        </w:rPr>
        <w:t xml:space="preserve">Golden Dome</w:t>
      </w:r>
      <w:r>
        <w:t xml:space="preserve">-relevant.</w:t>
      </w:r>
    </w:p>
    <w:p>
      <w:pPr>
        <w:pStyle w:val="Compact"/>
        <w:numPr>
          <w:ilvl w:val="1"/>
          <w:numId w:val="1003"/>
        </w:numPr>
      </w:pPr>
      <w:r>
        <w:rPr>
          <w:b/>
          <w:bCs/>
        </w:rPr>
        <w:t xml:space="preserve">Loitering munitions</w:t>
      </w:r>
      <w:r>
        <w:t xml:space="preserve"> </w:t>
      </w:r>
      <w:r>
        <w:t xml:space="preserve">— first production award under the Marine Corps OPF-L program, plus participation in the Army's Lasso program.</w:t>
      </w:r>
    </w:p>
    <w:p>
      <w:pPr>
        <w:numPr>
          <w:ilvl w:val="0"/>
          <w:numId w:val="1002"/>
        </w:numPr>
      </w:pPr>
      <w:r>
        <w:rPr>
          <w:b/>
          <w:bCs/>
        </w:rPr>
        <w:t xml:space="preserve">M&amp;A / capital allocation.</w:t>
      </w:r>
      <w:r>
        <w:t xml:space="preserve"> </w:t>
      </w:r>
      <w:r>
        <w:t xml:space="preserve">Management sounded</w:t>
      </w:r>
      <w:r>
        <w:t xml:space="preserve"> </w:t>
      </w:r>
      <w:r>
        <w:rPr>
          <w:b/>
          <w:bCs/>
        </w:rPr>
        <w:t xml:space="preserve">more encouraged on larger deals</w:t>
      </w:r>
      <w:r>
        <w:t xml:space="preserve"> </w:t>
      </w:r>
      <w:r>
        <w:t xml:space="preserve">("</w:t>
      </w:r>
      <w:r>
        <w:t xml:space="preserve">$1 billion or thereabouts") for 2026 than in 2025, while continuing bolt-on "string of pearls" deals. They also do **opportunistic buybacks** ($</w:t>
      </w:r>
      <w:r>
        <w:t xml:space="preserve">400M in Q4 2025; $2.0B authorization) only when the stock looks undervalued — after the YTD run, buybacks may be less likely near-term. Any large-deal announcement would be a needle-mover.</w:t>
      </w:r>
    </w:p>
    <w:p>
      <w:pPr>
        <w:numPr>
          <w:ilvl w:val="0"/>
          <w:numId w:val="1002"/>
        </w:numPr>
      </w:pPr>
      <w:r>
        <w:rPr>
          <w:b/>
          <w:bCs/>
        </w:rPr>
        <w:t xml:space="preserve">Balance sheet / de-leveraging.</w:t>
      </w:r>
      <w:r>
        <w:t xml:space="preserve"> </w:t>
      </w:r>
      <w:r>
        <w:t xml:space="preserve">Q1 net debt was</w:t>
      </w:r>
      <w:r>
        <w:t xml:space="preserve"> </w:t>
      </w:r>
      <m:oMath>
        <m:r>
          <m:t>1</m:t>
        </m:r>
        <m:r>
          <m:rPr>
            <m:sty m:val="p"/>
          </m:rPr>
          <m:t>,</m:t>
        </m:r>
        <m:r>
          <m:t>954.9</m:t>
        </m:r>
        <m:r>
          <m:t>M</m:t>
        </m:r>
        <m:r>
          <m:rPr>
            <m:sty m:val="p"/>
          </m:rPr>
          <m:t>*</m:t>
        </m:r>
        <m:r>
          <m:rPr>
            <m:sty m:val="p"/>
          </m:rPr>
          <m:t>*</m:t>
        </m:r>
        <m:r>
          <m:t>a</m:t>
        </m:r>
        <m:r>
          <m:t>t</m:t>
        </m:r>
        <m:r>
          <m:t>a</m:t>
        </m:r>
        <m:r>
          <m:rPr>
            <m:sty m:val="p"/>
          </m:rPr>
          <m:t>*</m:t>
        </m:r>
        <m:r>
          <m:rPr>
            <m:sty m:val="p"/>
          </m:rPr>
          <m:t>*</m:t>
        </m:r>
        <m:r>
          <m:t>1.3</m:t>
        </m:r>
        <m:r>
          <m:t>x</m:t>
        </m:r>
        <m:r>
          <m:rPr>
            <m:sty m:val="p"/>
          </m:rPr>
          <m:t>*</m:t>
        </m:r>
        <m:r>
          <m:rPr>
            <m:sty m:val="p"/>
          </m:rPr>
          <m:t>*</m:t>
        </m:r>
        <m:r>
          <m:t>l</m:t>
        </m:r>
        <m:r>
          <m:t>e</m:t>
        </m:r>
        <m:r>
          <m:t>v</m:t>
        </m:r>
        <m:r>
          <m:t>e</m:t>
        </m:r>
        <m:r>
          <m:t>r</m:t>
        </m:r>
        <m:r>
          <m:t>a</m:t>
        </m:r>
        <m:r>
          <m:t>g</m:t>
        </m:r>
        <m:r>
          <m:t>e</m:t>
        </m:r>
        <m:r>
          <m:t>r</m:t>
        </m:r>
        <m:r>
          <m:t>a</m:t>
        </m:r>
        <m:r>
          <m:t>t</m:t>
        </m:r>
        <m:r>
          <m:t>i</m:t>
        </m:r>
        <m:r>
          <m:t>o</m:t>
        </m:r>
        <m:r>
          <m:rPr>
            <m:sty m:val="p"/>
          </m:rPr>
          <m:t>;</m:t>
        </m:r>
        <m:r>
          <m:t>a</m:t>
        </m:r>
        <m:r>
          <m:rPr>
            <m:sty m:val="p"/>
          </m:rPr>
          <m:t>*</m:t>
        </m:r>
        <m:r>
          <m:rPr>
            <m:sty m:val="p"/>
          </m:rPr>
          <m:t>*</m:t>
        </m:r>
      </m:oMath>
      <w:r>
        <w:rPr>
          <w:b/>
          <w:bCs/>
        </w:rPr>
        <w:t xml:space="preserve">450M debt maturity</w:t>
      </w:r>
      <w:r>
        <w:t xml:space="preserve"> </w:t>
      </w:r>
      <w:r>
        <w:t xml:space="preserve">was paid post-quarter from cash. Strong free cash flow (~$1.1B two years running) gives ample flexibility. Watch FCF conversion — Q1 FCF was $204.3M (down slightly YoY on higher inventory/capex).</w:t>
      </w:r>
    </w:p>
    <w:p>
      <w:pPr>
        <w:numPr>
          <w:ilvl w:val="0"/>
          <w:numId w:val="1002"/>
        </w:numPr>
      </w:pPr>
      <w:r>
        <w:rPr>
          <w:b/>
          <w:bCs/>
        </w:rPr>
        <w:t xml:space="preserve">Memory/component inflation.</w:t>
      </w:r>
      <w:r>
        <w:t xml:space="preserve"> </w:t>
      </w:r>
      <w:r>
        <w:t xml:space="preserve">Management downplayed net risk from rising memory prices, noting memory suppliers are also T&amp;M customers. Worth confirming this remains benign.</w:t>
      </w:r>
    </w:p>
    <w:p>
      <w:pPr>
        <w:numPr>
          <w:ilvl w:val="0"/>
          <w:numId w:val="1002"/>
        </w:numPr>
      </w:pPr>
      <w:r>
        <w:rPr>
          <w:b/>
          <w:bCs/>
        </w:rPr>
        <w:t xml:space="preserve">Macro/geopolitical.</w:t>
      </w:r>
      <w:r>
        <w:t xml:space="preserve"> </w:t>
      </w:r>
      <w:r>
        <w:t xml:space="preserve">The Q1 release notably added a new risk factor: the</w:t>
      </w:r>
      <w:r>
        <w:t xml:space="preserve"> </w:t>
      </w:r>
      <w:r>
        <w:rPr>
          <w:b/>
          <w:bCs/>
        </w:rPr>
        <w:t xml:space="preserve">"2026 conflict between the United States and Iran"</w:t>
      </w:r>
      <w:r>
        <w:t xml:space="preserve"> </w:t>
      </w:r>
      <w:r>
        <w:t xml:space="preserve">(energy costs, shipping, helium/materials supply). Also in focus: tariffs, potential U.S. government shutdown/contract-award delays, and China trade tension. Commercial aerospace is small (~5% of sales, limited Boeing OEM exposure), so 737 rate changes are not a major swing factor.</w:t>
      </w:r>
    </w:p>
    <w:p>
      <w:r>
        <w:pict>
          <v:rect style="width:0;height:1.5pt" o:hralign="center" o:hrstd="t" o:hr="t"/>
        </w:pict>
      </w:r>
    </w:p>
    <w:bookmarkEnd w:id="13"/>
    <w:bookmarkStart w:id="14" w:name="X4960e04ab25d5b0cc327a499929ad53a2a83d26"/>
    <w:p>
      <w:pPr>
        <w:pStyle w:val="Heading2"/>
      </w:pPr>
      <w:r>
        <w:t xml:space="preserve">5. Bottom Line — What Would Move the Stock</w:t>
      </w:r>
    </w:p>
    <w:p>
      <w:pPr>
        <w:pStyle w:val="FirstParagraph"/>
      </w:pPr>
      <w:r>
        <w:rPr>
          <w:b/>
          <w:bCs/>
        </w:rPr>
        <w:t xml:space="preserve">Bullish scenario:</w:t>
      </w:r>
      <w:r>
        <w:t xml:space="preserve"> </w:t>
      </w:r>
      <w:r>
        <w:t xml:space="preserve">Beat the</w:t>
      </w:r>
      <w:r>
        <w:t xml:space="preserve"> </w:t>
      </w:r>
      <m:oMath>
        <m:r>
          <m:t>5.70</m:t>
        </m:r>
        <m:r>
          <m:rPr>
            <m:sty m:val="p"/>
          </m:rPr>
          <m:t>–</m:t>
        </m:r>
      </m:oMath>
      <w:r>
        <w:t xml:space="preserve">5.80 non-GAAP guide (as in Q1), raise FY26 again toward/above ~$24.15, Digital Imaging margin marching toward 24%, book-to-bill &gt;1 across segments, and constructive commentary on a larger acquisition. This validates the "balanced portfolio firing on all cylinders + defense/unmanned optionality" thesis.</w:t>
      </w:r>
    </w:p>
    <w:p>
      <w:pPr>
        <w:pStyle w:val="BodyText"/>
      </w:pPr>
      <w:r>
        <w:rPr>
          <w:b/>
          <w:bCs/>
        </w:rPr>
        <w:t xml:space="preserve">Bearish/de-rating risk:</w:t>
      </w:r>
      <w:r>
        <w:t xml:space="preserve"> </w:t>
      </w:r>
      <w:r>
        <w:t xml:space="preserve">An in-line print with no guide raise, DI margin stalling below the ~23.4% target, evidence that last year's tariff pull-forward is now a headwind to organic growth, weak short-cycle recovery (machine vision/X-ray/T&amp;M), or soft orders. Given shares are up ~25% YTD and near the top of their range, "good but not great" could prompt profit-taking.</w:t>
      </w:r>
    </w:p>
    <w:p>
      <w:pPr>
        <w:pStyle w:val="BodyText"/>
      </w:pPr>
      <w:r>
        <w:rPr>
          <w:b/>
          <w:bCs/>
        </w:rPr>
        <w:t xml:space="preserve">Net:</w:t>
      </w:r>
      <w:r>
        <w:t xml:space="preserve"> </w:t>
      </w:r>
      <w:r>
        <w:t xml:space="preserve">Teledyne has beaten and raised into this print, orders have been healthy, and multiple structural tailwinds (infrared/unmanned, SDA/Golden Dome, marine autonomy, margin self-help) are intact. The debate is less about direction and more about</w:t>
      </w:r>
      <w:r>
        <w:t xml:space="preserve"> </w:t>
      </w:r>
      <w:r>
        <w:rPr>
          <w:b/>
          <w:bCs/>
        </w:rPr>
        <w:t xml:space="preserve">magnitude of the beat, the size of any guidance raise, and whether the defense catalysts start showing up in the numbers</w:t>
      </w:r>
      <w:r>
        <w:t xml:space="preserve"> </w:t>
      </w:r>
      <w:r>
        <w:t xml:space="preserve">— against a valuation that has already re-rated meaningfully this year.</w:t>
      </w:r>
    </w:p>
    <w:p>
      <w:r>
        <w:pict>
          <v:rect style="width:0;height:1.5pt" o:hralign="center" o:hrstd="t" o:hr="t"/>
        </w:pict>
      </w:r>
    </w:p>
    <w:p>
      <w:pPr>
        <w:pStyle w:val="FirstParagraph"/>
      </w:pPr>
      <w:r>
        <w:rPr>
          <w:i/>
          <w:iCs/>
        </w:rPr>
        <w:t xml:space="preserve">Preview based on Teledyne's Q1 2026 and Q2/Q4 2025 earnings releases and call transcripts, and TDY price action through July 21, 2026. Figures are company-reported GAAP/non-GAAP; verify against consensus estimates, which were not available in the source set, before trading.</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2026-07-22T01:33:53Z</dcterms:created>
  <dcterms:modified xsi:type="dcterms:W3CDTF">2026-07-22T01:33:53Z</dcterms:modified>
</cp:coreProperties>
</file>

<file path=docProps/custom.xml><?xml version="1.0" encoding="utf-8"?>
<Properties xmlns="http://schemas.openxmlformats.org/officeDocument/2006/custom-properties" xmlns:vt="http://schemas.openxmlformats.org/officeDocument/2006/docPropsVTypes"/>
</file>