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16db6e9c63a84526e3efd094d232179241b5277"/>
    <w:p>
      <w:pPr>
        <w:pStyle w:val="Heading1"/>
      </w:pPr>
      <w:r>
        <w:t xml:space="preserve">Teledyne Technologies (TDY) — Q2 2026 Earnings Preview</w:t>
      </w:r>
    </w:p>
    <w:p>
      <w:pPr>
        <w:pStyle w:val="FirstParagraph"/>
      </w:pPr>
      <w:r>
        <w:rPr>
          <w:b/>
          <w:bCs/>
        </w:rPr>
        <w:t xml:space="preserve">Report date:</w:t>
      </w:r>
      <w:r>
        <w:t xml:space="preserve"> </w:t>
      </w:r>
      <w:r>
        <w:t xml:space="preserve">July 22, 2026 (before market open) |</w:t>
      </w:r>
      <w:r>
        <w:t xml:space="preserve"> </w:t>
      </w:r>
      <w:r>
        <w:rPr>
          <w:b/>
          <w:bCs/>
        </w:rPr>
        <w:t xml:space="preserve">Event:</w:t>
      </w:r>
      <w:r>
        <w:t xml:space="preserve"> </w:t>
      </w:r>
      <w:r>
        <w:t xml:space="preserve">2026Q2 Earnings Call</w:t>
      </w:r>
      <w:r>
        <w:t xml:space="preserve"> </w:t>
      </w:r>
      <w:r>
        <w:rPr>
          <w:b/>
          <w:bCs/>
        </w:rPr>
        <w:t xml:space="preserve">Current price:</w:t>
      </w:r>
      <w:r>
        <w:t xml:space="preserve"> </w:t>
      </w:r>
      <w:r>
        <w:t xml:space="preserve">~</w:t>
      </w:r>
      <m:oMath>
        <m:r>
          <m:t>647.52</m:t>
        </m:r>
        <m:r>
          <m:rPr>
            <m:sty m:val="p"/>
          </m:rPr>
          <m:t>(</m:t>
        </m:r>
        <m:r>
          <m:t>7</m:t>
        </m:r>
        <m:r>
          <m:rPr>
            <m:sty m:val="p"/>
          </m:rPr>
          <m:t>/</m:t>
        </m:r>
        <m:r>
          <m:t>21</m:t>
        </m:r>
        <m:r>
          <m:rPr>
            <m:sty m:val="p"/>
          </m:rPr>
          <m:t>/</m:t>
        </m:r>
        <m:r>
          <m:t>26</m:t>
        </m:r>
        <m:r>
          <m:t>c</m:t>
        </m:r>
        <m:r>
          <m:t>l</m:t>
        </m:r>
        <m:r>
          <m:t>o</m:t>
        </m:r>
        <m:r>
          <m:t>s</m:t>
        </m:r>
        <m:r>
          <m:t>e</m:t>
        </m:r>
        <m:r>
          <m:rPr>
            <m:sty m:val="p"/>
          </m:rPr>
          <m:t>)</m:t>
        </m:r>
        <m:r>
          <m:rPr>
            <m:sty m:val="p"/>
          </m:rPr>
          <m:t>|</m:t>
        </m:r>
        <m:r>
          <m:rPr>
            <m:sty m:val="p"/>
          </m:rPr>
          <m:t>*</m:t>
        </m:r>
        <m:r>
          <m:rPr>
            <m:sty m:val="p"/>
          </m:rPr>
          <m:t>*</m:t>
        </m:r>
        <m:r>
          <m:t>52</m:t>
        </m:r>
        <m:r>
          <m:rPr>
            <m:sty m:val="p"/>
          </m:rPr>
          <m:t>−</m:t>
        </m:r>
        <m:r>
          <m:t>w</m:t>
        </m:r>
        <m:r>
          <m:t>e</m:t>
        </m:r>
        <m:r>
          <m:t>e</m:t>
        </m:r>
        <m:r>
          <m:t>k</m:t>
        </m:r>
        <m:r>
          <m:t>r</m:t>
        </m:r>
        <m:r>
          <m:t>a</m:t>
        </m:r>
        <m:r>
          <m:t>n</m:t>
        </m:r>
        <m:r>
          <m:t>g</m:t>
        </m:r>
        <m:r>
          <m:t>e</m:t>
        </m:r>
        <m:r>
          <m:rPr>
            <m:sty m:val="p"/>
          </m:rPr>
          <m:t>(</m:t>
        </m:r>
        <m:r>
          <m:t>2026</m:t>
        </m:r>
        <m:r>
          <m:t>Y</m:t>
        </m:r>
        <m:r>
          <m:t>T</m:t>
        </m:r>
        <m:r>
          <m:t>D</m:t>
        </m:r>
        <m:r>
          <m:rPr>
            <m:sty m:val="p"/>
          </m:rPr>
          <m:t>)</m:t>
        </m:r>
        <m:r>
          <m:rPr>
            <m:sty m:val="p"/>
          </m:rPr>
          <m:t>:</m:t>
        </m:r>
        <m:r>
          <m:rPr>
            <m:sty m:val="p"/>
          </m:rPr>
          <m:t>*</m:t>
        </m:r>
        <m:r>
          <m:rPr>
            <m:sty m:val="p"/>
          </m:rPr>
          <m:t>*</m:t>
        </m:r>
        <m:r>
          <m:t> </m:t>
        </m:r>
      </m:oMath>
      <w:r>
        <w:t xml:space="preserve">518.77 – $683.22</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Teledyne heads into this report on a strong footing after a record Q1. Per the company's own Q1 2026 release, first-quarter net sales were $1,560.1 million (+7.6% y/y), GAAP diluted EPS was $4.85, and non-GAAP diluted EPS was $5.80 (+17.2% y/y) — all records for a first quarter, with non-GAAP operating margin expanding to 22.6% from 22.0% a year earlier.</w:t>
      </w:r>
    </w:p>
    <w:p>
      <w:pPr>
        <w:pStyle w:val="BodyText"/>
      </w:pPr>
      <w:r>
        <w:t xml:space="preserve">Sell-side expectations for Q2 have been building on that momentum. Ahead of the event, analysts expect the company's EPS to be $5.77 on a diluted basis, up 11% from $5.20 in the year-ago quarter, and the company has met or exceeded Wall Street's EPS estimates in each of its last four quarters. On the top line, the market is expecting Teledyne's revenue to grow 4.3% year on year, slowing from the 10.2% increase it recorded in the same quarter last year. Estimate revisions have been stable heading in — the consensus EPS estimate for the quarter has remained unchanged over the last 30 days, reflecting how covering analysts have collectively reassessed initial estimates over this period — and Zacks-style surprise models lean bullish: the Most Accurate Estimate is higher than the Zacks Consensus Estimate, resulting in an Earnings ESP of +0.52%, which combined with a Zacks Rank of #3 indicates Teledyne will most likely beat the consensus EPS estimate.</w:t>
      </w:r>
    </w:p>
    <w:bookmarkEnd w:id="9"/>
    <w:bookmarkStart w:id="10" w:name="X1f0bfe3f03fb9f59421056dfef6904295917fb3"/>
    <w:p>
      <w:pPr>
        <w:pStyle w:val="Heading2"/>
      </w:pPr>
      <w:r>
        <w:t xml:space="preserve">2. Company's Own Guidance to Beat</w:t>
      </w:r>
    </w:p>
    <w:p>
      <w:pPr>
        <w:pStyle w:val="FirstParagraph"/>
      </w:pPr>
      <w:r>
        <w:t xml:space="preserve">Management's own Q2 outlook, issued alongside Q1 results, calls for:</w:t>
      </w:r>
    </w:p>
    <w:p>
      <w:pPr>
        <w:pStyle w:val="Compact"/>
        <w:numPr>
          <w:ilvl w:val="0"/>
          <w:numId w:val="1001"/>
        </w:numPr>
      </w:pPr>
      <w:r>
        <w:rPr>
          <w:b/>
          <w:bCs/>
        </w:rPr>
        <w:t xml:space="preserve">GAAP diluted EPS:</w:t>
      </w:r>
      <w:r>
        <w:t xml:space="preserve"> </w:t>
      </w:r>
      <m:oMath>
        <m:r>
          <m:t>4.75</m:t>
        </m:r>
        <m:r>
          <m:rPr>
            <m:sty m:val="p"/>
          </m:rPr>
          <m:t>–</m:t>
        </m:r>
      </m:oMath>
      <w:r>
        <w:t xml:space="preserve">4.90</w:t>
      </w:r>
    </w:p>
    <w:p>
      <w:pPr>
        <w:pStyle w:val="Compact"/>
        <w:numPr>
          <w:ilvl w:val="0"/>
          <w:numId w:val="1001"/>
        </w:numPr>
      </w:pPr>
      <w:r>
        <w:rPr>
          <w:b/>
          <w:bCs/>
        </w:rPr>
        <w:t xml:space="preserve">Non-GAAP diluted EPS:</w:t>
      </w:r>
      <w:r>
        <w:t xml:space="preserve"> </w:t>
      </w:r>
      <m:oMath>
        <m:r>
          <m:t>5.70</m:t>
        </m:r>
        <m:r>
          <m:rPr>
            <m:sty m:val="p"/>
          </m:rPr>
          <m:t>–</m:t>
        </m:r>
      </m:oMath>
      <w:r>
        <w:t xml:space="preserve">5.80</w:t>
      </w:r>
    </w:p>
    <w:p>
      <w:pPr>
        <w:pStyle w:val="Compact"/>
        <w:numPr>
          <w:ilvl w:val="0"/>
          <w:numId w:val="1001"/>
        </w:numPr>
      </w:pPr>
      <w:r>
        <w:rPr>
          <w:b/>
          <w:bCs/>
        </w:rPr>
        <w:t xml:space="preserve">Full-year 2026 GAAP EPS:</w:t>
      </w:r>
      <w:r>
        <w:t xml:space="preserve"> </w:t>
      </w:r>
      <m:oMath>
        <m:r>
          <m:t>20.08</m:t>
        </m:r>
        <m:r>
          <m:rPr>
            <m:sty m:val="p"/>
          </m:rPr>
          <m:t>–</m:t>
        </m:r>
      </m:oMath>
      <w:r>
        <w:t xml:space="preserve">20.44 (raised from</w:t>
      </w:r>
      <w:r>
        <w:t xml:space="preserve"> </w:t>
      </w:r>
      <m:oMath>
        <m:r>
          <m:t>19.76</m:t>
        </m:r>
        <m:r>
          <m:rPr>
            <m:sty m:val="p"/>
          </m:rPr>
          <m:t>–</m:t>
        </m:r>
      </m:oMath>
      <w:r>
        <w:t xml:space="preserve">20.22)</w:t>
      </w:r>
    </w:p>
    <w:p>
      <w:pPr>
        <w:pStyle w:val="Compact"/>
        <w:numPr>
          <w:ilvl w:val="0"/>
          <w:numId w:val="1001"/>
        </w:numPr>
      </w:pPr>
      <w:r>
        <w:rPr>
          <w:b/>
          <w:bCs/>
        </w:rPr>
        <w:t xml:space="preserve">Full-year 2026 non-GAAP EPS:</w:t>
      </w:r>
      <w:r>
        <w:t xml:space="preserve"> </w:t>
      </w:r>
      <m:oMath>
        <m:r>
          <m:t>23.85</m:t>
        </m:r>
        <m:r>
          <m:rPr>
            <m:sty m:val="p"/>
          </m:rPr>
          <m:t>–</m:t>
        </m:r>
      </m:oMath>
      <w:r>
        <w:t xml:space="preserve">24.15 (raised from</w:t>
      </w:r>
      <w:r>
        <w:t xml:space="preserve"> </w:t>
      </w:r>
      <m:oMath>
        <m:r>
          <m:t>23.45</m:t>
        </m:r>
        <m:r>
          <m:rPr>
            <m:sty m:val="p"/>
          </m:rPr>
          <m:t>–</m:t>
        </m:r>
      </m:oMath>
      <w:r>
        <w:t xml:space="preserve">23.85)</w:t>
      </w:r>
    </w:p>
    <w:p>
      <w:pPr>
        <w:pStyle w:val="FirstParagraph"/>
      </w:pPr>
      <w:r>
        <w:t xml:space="preserve">The Street's ~$5.77 estimate sits right at the top of Teledyne's own Q2 non-GAAP guidance range, meaning even an in-line print would represent a beat of the low end and match a company that, as the Yahoo/Barchart preview notes, reported Q1 revenue that surpassed the Street's estimates while adjusted EPS of $5.80 also came in on top of Wall Street's estimates. Full-year consensus is essentially in line with guidance: analysts project fiscal 2026 EPS of $24.01, up 9.2% from $21.99 in fiscal 2025, with EPS expected to rise roughly 8.1% y/y to $25.95 in fiscal 2027.</w:t>
      </w:r>
    </w:p>
    <w:bookmarkEnd w:id="10"/>
    <w:bookmarkStart w:id="11" w:name="Xb7a3c885b771167bff0ac96569a8283f85b1ac0"/>
    <w:p>
      <w:pPr>
        <w:pStyle w:val="Heading2"/>
      </w:pPr>
      <w:r>
        <w:t xml:space="preserve">3. Segment Trends to Watch (from Q1 as a baseline)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pPr>
            <w:r>
              <w:t xml:space="preserve">Q1'26 Sales</w:t>
            </w:r>
          </w:p>
        </w:tc>
        <w:tc>
          <w:tcPr/>
          <w:p>
            <w:pPr>
              <w:pStyle w:val="Compact"/>
            </w:pPr>
            <w:r>
              <w:t xml:space="preserve">y/y</w:t>
            </w:r>
          </w:p>
        </w:tc>
        <w:tc>
          <w:tcPr/>
          <w:p>
            <w:pPr>
              <w:pStyle w:val="Compact"/>
            </w:pPr>
            <w:r>
              <w:t xml:space="preserve">Q1'26 Op. Income</w:t>
            </w:r>
          </w:p>
        </w:tc>
        <w:tc>
          <w:tcPr/>
          <w:p>
            <w:pPr>
              <w:pStyle w:val="Compact"/>
            </w:pPr>
            <w:r>
              <w:t xml:space="preserve">y/y</w:t>
            </w:r>
          </w:p>
        </w:tc>
      </w:tr>
      <w:tr>
        <w:tc>
          <w:tcPr/>
          <w:p>
            <w:pPr>
              <w:pStyle w:val="Compact"/>
            </w:pPr>
            <w:r>
              <w:t xml:space="preserve">Digital Imaging</w:t>
            </w:r>
          </w:p>
        </w:tc>
        <w:tc>
          <w:tcPr/>
          <w:p>
            <w:pPr>
              <w:pStyle w:val="Compact"/>
            </w:pPr>
            <w:r>
              <w:t xml:space="preserve">$816.9M</w:t>
            </w:r>
          </w:p>
        </w:tc>
        <w:tc>
          <w:tcPr/>
          <w:p>
            <w:pPr>
              <w:pStyle w:val="Compact"/>
            </w:pPr>
            <w:r>
              <w:t xml:space="preserve">+7.9%</w:t>
            </w:r>
          </w:p>
        </w:tc>
        <w:tc>
          <w:tcPr/>
          <w:p>
            <w:pPr>
              <w:pStyle w:val="Compact"/>
            </w:pPr>
            <w:r>
              <w:t xml:space="preserve">$141.7M</w:t>
            </w:r>
          </w:p>
        </w:tc>
        <w:tc>
          <w:tcPr/>
          <w:p>
            <w:pPr>
              <w:pStyle w:val="Compact"/>
            </w:pPr>
            <w:r>
              <w:t xml:space="preserve">+15.9%</w:t>
            </w:r>
          </w:p>
        </w:tc>
      </w:tr>
      <w:tr>
        <w:tc>
          <w:tcPr/>
          <w:p>
            <w:pPr>
              <w:pStyle w:val="Compact"/>
            </w:pPr>
            <w:r>
              <w:t xml:space="preserve">Instrumentation</w:t>
            </w:r>
          </w:p>
        </w:tc>
        <w:tc>
          <w:tcPr/>
          <w:p>
            <w:pPr>
              <w:pStyle w:val="Compact"/>
            </w:pPr>
            <w:r>
              <w:t xml:space="preserve">$361.4M</w:t>
            </w:r>
          </w:p>
        </w:tc>
        <w:tc>
          <w:tcPr/>
          <w:p>
            <w:pPr>
              <w:pStyle w:val="Compact"/>
            </w:pPr>
            <w:r>
              <w:t xml:space="preserve">+5.3%</w:t>
            </w:r>
          </w:p>
        </w:tc>
        <w:tc>
          <w:tcPr/>
          <w:p>
            <w:pPr>
              <w:pStyle w:val="Compact"/>
            </w:pPr>
            <w:r>
              <w:t xml:space="preserve">$88.4M</w:t>
            </w:r>
          </w:p>
        </w:tc>
        <w:tc>
          <w:tcPr/>
          <w:p>
            <w:pPr>
              <w:pStyle w:val="Compact"/>
            </w:pPr>
            <w:r>
              <w:t xml:space="preserve">-4.6%</w:t>
            </w:r>
          </w:p>
        </w:tc>
      </w:tr>
      <w:tr>
        <w:tc>
          <w:tcPr/>
          <w:p>
            <w:pPr>
              <w:pStyle w:val="Compact"/>
            </w:pPr>
            <w:r>
              <w:t xml:space="preserve">Aerospace &amp; Defense Electronics</w:t>
            </w:r>
          </w:p>
        </w:tc>
        <w:tc>
          <w:tcPr/>
          <w:p>
            <w:pPr>
              <w:pStyle w:val="Compact"/>
            </w:pPr>
            <w:r>
              <w:t xml:space="preserve">$277.5M</w:t>
            </w:r>
          </w:p>
        </w:tc>
        <w:tc>
          <w:tcPr/>
          <w:p>
            <w:pPr>
              <w:pStyle w:val="Compact"/>
            </w:pPr>
            <w:r>
              <w:t xml:space="preserve">+14.4%</w:t>
            </w:r>
          </w:p>
        </w:tc>
        <w:tc>
          <w:tcPr/>
          <w:p>
            <w:pPr>
              <w:pStyle w:val="Compact"/>
            </w:pPr>
            <w:r>
              <w:t xml:space="preserve">$71.4M</w:t>
            </w:r>
          </w:p>
        </w:tc>
        <w:tc>
          <w:tcPr/>
          <w:p>
            <w:pPr>
              <w:pStyle w:val="Compact"/>
            </w:pPr>
            <w:r>
              <w:t xml:space="preserve">+28.2%</w:t>
            </w:r>
          </w:p>
        </w:tc>
      </w:tr>
      <w:tr>
        <w:tc>
          <w:tcPr/>
          <w:p>
            <w:pPr>
              <w:pStyle w:val="Compact"/>
            </w:pPr>
            <w:r>
              <w:t xml:space="preserve">Engineered Systems</w:t>
            </w:r>
          </w:p>
        </w:tc>
        <w:tc>
          <w:tcPr/>
          <w:p>
            <w:pPr>
              <w:pStyle w:val="Compact"/>
            </w:pPr>
            <w:r>
              <w:t xml:space="preserve">$104.3M</w:t>
            </w:r>
          </w:p>
        </w:tc>
        <w:tc>
          <w:tcPr/>
          <w:p>
            <w:pPr>
              <w:pStyle w:val="Compact"/>
            </w:pPr>
            <w:r>
              <w:t xml:space="preserve">-2.6%</w:t>
            </w:r>
          </w:p>
        </w:tc>
        <w:tc>
          <w:tcPr/>
          <w:p>
            <w:pPr>
              <w:pStyle w:val="Compact"/>
            </w:pPr>
            <w:r>
              <w:t xml:space="preserve">$11.7M</w:t>
            </w:r>
          </w:p>
        </w:tc>
        <w:tc>
          <w:tcPr/>
          <w:p>
            <w:pPr>
              <w:pStyle w:val="Compact"/>
            </w:pPr>
            <w:r>
              <w:t xml:space="preserve">+8.3%</w:t>
            </w:r>
          </w:p>
        </w:tc>
      </w:tr>
    </w:tbl>
    <w:p>
      <w:pPr>
        <w:pStyle w:val="BodyText"/>
      </w:pPr>
      <w:r>
        <w:t xml:space="preserve">Key threads investors should listen for on the call:</w:t>
      </w:r>
    </w:p>
    <w:p>
      <w:pPr>
        <w:pStyle w:val="Compact"/>
        <w:numPr>
          <w:ilvl w:val="0"/>
          <w:numId w:val="1002"/>
        </w:numPr>
      </w:pPr>
      <w:r>
        <w:rPr>
          <w:b/>
          <w:bCs/>
        </w:rPr>
        <w:t xml:space="preserve">Digital Imaging (largest segment, ~52% of sales)</w:t>
      </w:r>
      <w:r>
        <w:t xml:space="preserve"> </w:t>
      </w:r>
      <w:r>
        <w:t xml:space="preserve">has been the growth engine, driven by infrared detectors/systems for space, airborne, marine and land applications plus unmanned aerial systems, and industrial imaging/X-ray businesses returning to growth. Watch for continued strength here and commentary on new product launches (e.g., FLIR's Boson SX8 thermal imaging family and Prism counter-UAS software highlighted around Eurosatory 2026).</w:t>
      </w:r>
    </w:p>
    <w:p>
      <w:pPr>
        <w:pStyle w:val="Compact"/>
        <w:numPr>
          <w:ilvl w:val="0"/>
          <w:numId w:val="1002"/>
        </w:numPr>
      </w:pPr>
      <w:r>
        <w:rPr>
          <w:b/>
          <w:bCs/>
        </w:rPr>
        <w:t xml:space="preserve">Aerospace &amp; Defense Electronics</w:t>
      </w:r>
      <w:r>
        <w:t xml:space="preserve"> </w:t>
      </w:r>
      <w:r>
        <w:t xml:space="preserve">posted the strongest margin expansion in Q1 (op. income +28.2%) on higher defense electronics sales plus contribution from recent acquisitions — a segment analysts are increasingly focused on. Per one preview, defense electronics are a key focus for TDY now, consistent with sector tailwinds (Northrop Grumman just beat Q2 estimates and raised guidance with backlog swelling to $104.7B from $95.6B).</w:t>
      </w:r>
    </w:p>
    <w:p>
      <w:pPr>
        <w:pStyle w:val="Compact"/>
        <w:numPr>
          <w:ilvl w:val="0"/>
          <w:numId w:val="1002"/>
        </w:numPr>
      </w:pPr>
      <w:r>
        <w:rPr>
          <w:b/>
          <w:bCs/>
        </w:rPr>
        <w:t xml:space="preserve">Instrumentation</w:t>
      </w:r>
      <w:r>
        <w:t xml:space="preserve"> </w:t>
      </w:r>
      <w:r>
        <w:t xml:space="preserve">was a modest drag in Q1 on unfavorable mix despite higher sales (marine/offshore energy and defense strength, gas detection growth), partially offset by softer electronic test &amp; measurement. Whether this mix normalizes is worth tracking.</w:t>
      </w:r>
    </w:p>
    <w:p>
      <w:pPr>
        <w:pStyle w:val="Compact"/>
        <w:numPr>
          <w:ilvl w:val="0"/>
          <w:numId w:val="1002"/>
        </w:numPr>
      </w:pPr>
      <w:r>
        <w:rPr>
          <w:b/>
          <w:bCs/>
        </w:rPr>
        <w:t xml:space="preserve">Engineered Systems</w:t>
      </w:r>
      <w:r>
        <w:t xml:space="preserve"> </w:t>
      </w:r>
      <w:r>
        <w:t xml:space="preserve">remains the smallest, choppiest segment; program mix swings will continue to drive results.</w:t>
      </w:r>
    </w:p>
    <w:bookmarkEnd w:id="11"/>
    <w:bookmarkStart w:id="12" w:name="X4f597795090525b861f716717ff512bc5e144f6"/>
    <w:p>
      <w:pPr>
        <w:pStyle w:val="Heading2"/>
      </w:pPr>
      <w:r>
        <w:t xml:space="preserve">4. Balance Sheet &amp; Capital Deployment</w:t>
      </w:r>
    </w:p>
    <w:p>
      <w:pPr>
        <w:pStyle w:val="FirstParagraph"/>
      </w:pPr>
      <w:r>
        <w:t xml:space="preserve">Teledyne continued deleveraging even while investing for growth: net debt fell to $1,954.9M at quarter-end (from $2,123.0M at year-end 2025), consolidated leverage stood at 1.3x, and the company made a</w:t>
      </w:r>
      <w:r>
        <w:t xml:space="preserve"> </w:t>
      </w:r>
      <m:oMath>
        <m:r>
          <m:t>450</m:t>
        </m:r>
        <m:r>
          <m:t>m</m:t>
        </m:r>
        <m:r>
          <m:t>i</m:t>
        </m:r>
        <m:r>
          <m:t>l</m:t>
        </m:r>
        <m:r>
          <m:t>l</m:t>
        </m:r>
        <m:r>
          <m:t>i</m:t>
        </m:r>
        <m:r>
          <m:t>o</m:t>
        </m:r>
        <m:r>
          <m:t>n</m:t>
        </m:r>
        <m:r>
          <m:t>d</m:t>
        </m:r>
        <m:r>
          <m:t>e</m:t>
        </m:r>
        <m:r>
          <m:t>b</m:t>
        </m:r>
        <m:r>
          <m:t>t</m:t>
        </m:r>
        <m:r>
          <m:t>m</m:t>
        </m:r>
        <m:r>
          <m:t>a</m:t>
        </m:r>
        <m:r>
          <m:t>t</m:t>
        </m:r>
        <m:r>
          <m:t>u</m:t>
        </m:r>
        <m:r>
          <m:t>r</m:t>
        </m:r>
        <m:r>
          <m:t>i</m:t>
        </m:r>
        <m:r>
          <m:t>t</m:t>
        </m:r>
        <m:r>
          <m:t>y</m:t>
        </m:r>
        <m:r>
          <m:t>p</m:t>
        </m:r>
        <m:r>
          <m:t>a</m:t>
        </m:r>
        <m:r>
          <m:t>y</m:t>
        </m:r>
        <m:r>
          <m:t>m</m:t>
        </m:r>
        <m:r>
          <m:t>e</m:t>
        </m:r>
        <m:r>
          <m:t>n</m:t>
        </m:r>
        <m:r>
          <m:t>t</m:t>
        </m:r>
        <m:r>
          <m:t>s</m:t>
        </m:r>
        <m:r>
          <m:t>h</m:t>
        </m:r>
        <m:r>
          <m:t>o</m:t>
        </m:r>
        <m:r>
          <m:t>r</m:t>
        </m:r>
        <m:r>
          <m:t>t</m:t>
        </m:r>
        <m:r>
          <m:t>l</m:t>
        </m:r>
        <m:r>
          <m:t>y</m:t>
        </m:r>
        <m:r>
          <m:t>a</m:t>
        </m:r>
        <m:r>
          <m:t>f</m:t>
        </m:r>
        <m:r>
          <m:t>t</m:t>
        </m:r>
        <m:r>
          <m:t>e</m:t>
        </m:r>
        <m:r>
          <m:t>r</m:t>
        </m:r>
        <m:r>
          <m:t>q</m:t>
        </m:r>
        <m:r>
          <m:t>u</m:t>
        </m:r>
        <m:r>
          <m:t>a</m:t>
        </m:r>
        <m:r>
          <m:t>r</m:t>
        </m:r>
        <m:r>
          <m:t>t</m:t>
        </m:r>
        <m:r>
          <m:t>e</m:t>
        </m:r>
        <m:r>
          <m:t>r</m:t>
        </m:r>
        <m:r>
          <m:rPr>
            <m:sty m:val="p"/>
          </m:rPr>
          <m:t>−</m:t>
        </m:r>
        <m:r>
          <m:t>e</m:t>
        </m:r>
        <m:r>
          <m:t>n</m:t>
        </m:r>
        <m:r>
          <m:t>d</m:t>
        </m:r>
        <m:r>
          <m:rPr>
            <m:sty m:val="p"/>
          </m:rPr>
          <m:t>.</m:t>
        </m:r>
        <m:r>
          <m:t>C</m:t>
        </m:r>
        <m:r>
          <m:t>a</m:t>
        </m:r>
        <m:r>
          <m:t>p</m:t>
        </m:r>
        <m:r>
          <m:t>e</m:t>
        </m:r>
        <m:r>
          <m:t>x</m:t>
        </m:r>
        <m:r>
          <m:t>n</m:t>
        </m:r>
        <m:r>
          <m:t>e</m:t>
        </m:r>
        <m:r>
          <m:t>a</m:t>
        </m:r>
        <m:r>
          <m:t>r</m:t>
        </m:r>
        <m:r>
          <m:t>l</m:t>
        </m:r>
        <m:r>
          <m:t>y</m:t>
        </m:r>
        <m:r>
          <m:t>d</m:t>
        </m:r>
        <m:r>
          <m:t>o</m:t>
        </m:r>
        <m:r>
          <m:t>u</m:t>
        </m:r>
        <m:r>
          <m:t>b</m:t>
        </m:r>
        <m:r>
          <m:t>l</m:t>
        </m:r>
        <m:r>
          <m:t>e</m:t>
        </m:r>
        <m:r>
          <m:t>d</m:t>
        </m:r>
        <m:r>
          <m:t>y</m:t>
        </m:r>
        <m:r>
          <m:rPr>
            <m:sty m:val="p"/>
          </m:rPr>
          <m:t>/</m:t>
        </m:r>
        <m:r>
          <m:t>y</m:t>
        </m:r>
        <m:r>
          <m:rPr>
            <m:sty m:val="p"/>
          </m:rPr>
          <m:t>(</m:t>
        </m:r>
      </m:oMath>
      <w:r>
        <w:t xml:space="preserve">29.7M vs. $18.0M) as the company builds capacity to meet defense/imaging demand — a trend worth watching for continuation in Q2. On M&amp;A, Teledyne closed the DD-Scientific acquisition in January 2026, continuing its steady bolt-on acquisition cadence (following FLIR, Micropac, Qioptiq, etc.), and management's tone on further tuck-ins will be a focus area.</w:t>
      </w:r>
    </w:p>
    <w:bookmarkEnd w:id="12"/>
    <w:bookmarkStart w:id="13" w:name="X528fb13ea5d831190cea5546064e5d662da9c9a"/>
    <w:p>
      <w:pPr>
        <w:pStyle w:val="Heading2"/>
      </w:pPr>
      <w:r>
        <w:t xml:space="preserve">5. Analyst Sentiment &amp; Valuation</w:t>
      </w:r>
    </w:p>
    <w:p>
      <w:pPr>
        <w:pStyle w:val="FirstParagraph"/>
      </w:pPr>
      <w:r>
        <w:t xml:space="preserve">Sentiment is constructive but not uniformly bullish:</w:t>
      </w:r>
    </w:p>
    <w:p>
      <w:pPr>
        <w:pStyle w:val="Compact"/>
        <w:numPr>
          <w:ilvl w:val="0"/>
          <w:numId w:val="1003"/>
        </w:numPr>
      </w:pPr>
      <w:r>
        <w:t xml:space="preserve">Analysts have a Buy consensus rating on TDY, according to a survey of 7 analysts. Teledyne is expected to continue its strong performance thanks to record sales and margins in Q1 and plans to invest in capacity to meet defense demand, with Stifel maintaining a Buy rating and raising its target price to $750.</w:t>
      </w:r>
    </w:p>
    <w:p>
      <w:pPr>
        <w:pStyle w:val="Compact"/>
        <w:numPr>
          <w:ilvl w:val="0"/>
          <w:numId w:val="1003"/>
        </w:numPr>
      </w:pPr>
      <w:r>
        <w:t xml:space="preserve">Price targets vary meaningfully by source: one tracker cites an average analyst price target of $741.31 versus a current share price of $626.68, implying notable upside, while another data provider shows a more modest average target near $693.71 with essentially no implied upside from recent levels.</w:t>
      </w:r>
    </w:p>
    <w:p>
      <w:pPr>
        <w:pStyle w:val="Compact"/>
        <w:numPr>
          <w:ilvl w:val="0"/>
          <w:numId w:val="1003"/>
        </w:numPr>
      </w:pPr>
      <w:r>
        <w:t xml:space="preserve">Valuation-focused screens flag TDY as rich versus intrinsic-value models: GuruFocus's GF Value places fair value near</w:t>
      </w:r>
      <w:r>
        <w:t xml:space="preserve"> </w:t>
      </w:r>
      <m:oMath>
        <m:r>
          <m:t>522.35</m:t>
        </m:r>
        <m:r>
          <m:rPr>
            <m:sty m:val="p"/>
          </m:rPr>
          <m:t>,</m:t>
        </m:r>
        <m:r>
          <m:t>s</m:t>
        </m:r>
        <m:r>
          <m:t>u</m:t>
        </m:r>
        <m:r>
          <m:t>g</m:t>
        </m:r>
        <m:r>
          <m:t>g</m:t>
        </m:r>
        <m:r>
          <m:t>e</m:t>
        </m:r>
        <m:r>
          <m:t>s</m:t>
        </m:r>
        <m:r>
          <m:t>t</m:t>
        </m:r>
        <m:r>
          <m:t>i</m:t>
        </m:r>
        <m:r>
          <m:t>n</m:t>
        </m:r>
        <m:r>
          <m:t>g</m:t>
        </m:r>
        <m:r>
          <m:t>t</m:t>
        </m:r>
        <m:r>
          <m:t>h</m:t>
        </m:r>
        <m:r>
          <m:t>e</m:t>
        </m:r>
        <m:r>
          <m:t>s</m:t>
        </m:r>
        <m:r>
          <m:t>t</m:t>
        </m:r>
        <m:r>
          <m:t>o</m:t>
        </m:r>
        <m:r>
          <m:t>c</m:t>
        </m:r>
        <m:r>
          <m:t>k</m:t>
        </m:r>
        <m:r>
          <m:t>i</m:t>
        </m:r>
        <m:r>
          <m:t>s</m:t>
        </m:r>
        <m:r>
          <m:t>r</m:t>
        </m:r>
        <m:r>
          <m:t>o</m:t>
        </m:r>
        <m:r>
          <m:t>u</m:t>
        </m:r>
        <m:r>
          <m:t>g</m:t>
        </m:r>
        <m:r>
          <m:t>h</m:t>
        </m:r>
        <m:r>
          <m:t>l</m:t>
        </m:r>
        <m:r>
          <m:t>y</m:t>
        </m:r>
        <m:r>
          <m:t>20.8</m:t>
        </m:r>
      </m:oMath>
      <w:r>
        <w:t xml:space="preserve">631 price at the time, even as the same service scores Teledyne highly on financial strength and profitability (GF Score 93/100).</w:t>
      </w:r>
    </w:p>
    <w:p>
      <w:pPr>
        <w:pStyle w:val="Compact"/>
        <w:numPr>
          <w:ilvl w:val="0"/>
          <w:numId w:val="1003"/>
        </w:numPr>
      </w:pPr>
      <w:r>
        <w:t xml:space="preserve">Over the trailing year, TDY's stock has grown 25.8%, outperforming the S&amp;P 500's 19.9% rise but lagging the XLK technology ETF's 47.9% return over the same period.</w:t>
      </w:r>
    </w:p>
    <w:bookmarkEnd w:id="13"/>
    <w:bookmarkStart w:id="14" w:name="Xa2d77764c2eb1568cf0b5cd13c0affe32ddc284"/>
    <w:p>
      <w:pPr>
        <w:pStyle w:val="Heading2"/>
      </w:pPr>
      <w:r>
        <w:t xml:space="preserve">6. Macro &amp; Risk Backdrop</w:t>
      </w:r>
    </w:p>
    <w:p>
      <w:pPr>
        <w:pStyle w:val="FirstParagraph"/>
      </w:pPr>
      <w:r>
        <w:t xml:space="preserve">Teledyne's own forward-looking disclosures flag a wide risk list including tariffs, U.S.–China trade tension, defense-budget dynamics, and geopolitical conflict — all live issues right now. Notably, the Q1 release explicitly cites risk from</w:t>
      </w:r>
      <w:r>
        <w:t xml:space="preserve"> </w:t>
      </w:r>
      <w:r>
        <w:rPr>
          <w:b/>
          <w:bCs/>
        </w:rPr>
        <w:t xml:space="preserve">the 2026 U.S.–Iran conflict</w:t>
      </w:r>
      <w:r>
        <w:t xml:space="preserve">, including energy-cost/supply disruption and shipping impacts, which is topical given fresh reports of Strait of Hormuz shipping risk affecting oil logistics this week. Because roughly half of Digital Imaging and a meaningful chunk of A&amp;D Electronics sales tie to defense and government programs, continuity of U.S. and allied defense spending remains a swing factor — though peer results (Northrop's guidance raise, Lockheed's UK missile-defense wins) suggest the defense demand backdrop remains firm heading into TDY's print. Commercial-aerospace exposure (via Instrumentation/avionics) also ties Teledyne's fortunes partly to Boeing/Airbus production rates, a perennial watch item.</w:t>
      </w:r>
    </w:p>
    <w:bookmarkEnd w:id="14"/>
    <w:bookmarkStart w:id="15" w:name="X7a3bbf556adfc11a6000f5b234b318bdc6ae48e"/>
    <w:p>
      <w:pPr>
        <w:pStyle w:val="Heading2"/>
      </w:pPr>
      <w:r>
        <w:t xml:space="preserve">7. Bottom Line</w:t>
      </w:r>
    </w:p>
    <w:p>
      <w:pPr>
        <w:pStyle w:val="FirstParagraph"/>
      </w:pPr>
      <w:r>
        <w:t xml:space="preserve">Teledyne enters this print with a track record of beating and raising: it beat Q1 estimates, raised full-year GAAP and non-GAAP guidance, kept deleveraging, and continued its bolt-on M&amp;A playbook — all while growing R&amp;D and capex. Consensus for Q2 (~$5.77 non-GAAP EPS, +4.3% revenue growth) sits comfortably within or near the top of management's own</w:t>
      </w:r>
      <w:r>
        <w:t xml:space="preserve"> </w:t>
      </w:r>
      <m:oMath>
        <m:r>
          <m:t>5.70</m:t>
        </m:r>
        <m:r>
          <m:rPr>
            <m:sty m:val="p"/>
          </m:rPr>
          <m:t>–</m:t>
        </m:r>
      </m:oMath>
      <w:r>
        <w:t xml:space="preserve">5.80 guidance, and the company's four-quarter beat streak plus a positive Zacks Earnings ESP suggest the bar, while higher than a year ago, is not unreasonably aggressive. The key swing factors for the stock reaction will likely be: (1) whether Digital Imaging and Aerospace &amp; Defense Electronics sustain their double-digit growth/margin trajectory, (2) any incremental commentary on tariffs, defense-budget timing, or Iran-conflict-related supply disruption, and (3) whether management nudges full-year guidance higher again — a pattern investors have come to expect from Teledyne in recent quarters.</w:t>
      </w:r>
    </w:p>
    <w:p>
      <w:pPr>
        <w:pStyle w:val="BodyText"/>
      </w:pPr>
      <w:r>
        <w:rPr>
          <w:i/>
          <w:iCs/>
        </w:rPr>
        <w:t xml:space="preserve">This preview is for informational purposes only and does not constitute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2026-07-22T00:27:34Z</dcterms:created>
  <dcterms:modified xsi:type="dcterms:W3CDTF">2026-07-22T00:27:34Z</dcterms:modified>
</cp:coreProperties>
</file>

<file path=docProps/custom.xml><?xml version="1.0" encoding="utf-8"?>
<Properties xmlns="http://schemas.openxmlformats.org/officeDocument/2006/custom-properties" xmlns:vt="http://schemas.openxmlformats.org/officeDocument/2006/docPropsVTypes"/>
</file>