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a92f9934db30d277463d8ca4b564412234210c"/>
    <w:p>
      <w:pPr>
        <w:pStyle w:val="Heading1"/>
      </w:pPr>
      <w:r>
        <w:t xml:space="preserve">Teledyne Technologies (NYSE: TDY) — 2Q26 Earnings Preview</w:t>
      </w:r>
    </w:p>
    <w:p>
      <w:pPr>
        <w:pStyle w:val="BlockText"/>
      </w:pPr>
      <w:r>
        <w:rPr>
          <w:b/>
          <w:bCs/>
        </w:rPr>
        <w:t xml:space="preserve">Timing note:</w:t>
      </w:r>
      <w:r>
        <w:t xml:space="preserve"> </w:t>
      </w:r>
      <w:r>
        <w:t xml:space="preserve">July 22, 2026 is</w:t>
      </w:r>
      <w:r>
        <w:t xml:space="preserve"> </w:t>
      </w:r>
      <w:r>
        <w:rPr>
          <w:b/>
          <w:bCs/>
        </w:rPr>
        <w:t xml:space="preserve">today</w:t>
      </w:r>
      <w:r>
        <w:t xml:space="preserve">, not tomorrow. Teledyne is scheduled to release 2Q26 results</w:t>
      </w:r>
      <w:r>
        <w:t xml:space="preserve"> </w:t>
      </w:r>
      <w:r>
        <w:rPr>
          <w:b/>
          <w:bCs/>
        </w:rPr>
        <w:t xml:space="preserve">before the NYSE open</w:t>
      </w:r>
      <w:r>
        <w:t xml:space="preserve"> </w:t>
      </w:r>
      <w:r>
        <w:t xml:space="preserve">and host its earnings call at</w:t>
      </w:r>
      <w:r>
        <w:t xml:space="preserve"> </w:t>
      </w:r>
      <w:r>
        <w:rPr>
          <w:b/>
          <w:bCs/>
        </w:rPr>
        <w:t xml:space="preserve">11:00 a.m. ET</w:t>
      </w:r>
      <w:r>
        <w:t xml:space="preserve">.</w:t>
      </w:r>
    </w:p>
    <w:bookmarkStart w:id="9" w:name="investment-framing"/>
    <w:p>
      <w:pPr>
        <w:pStyle w:val="Heading2"/>
      </w:pPr>
      <w:r>
        <w:t xml:space="preserve">Investment framing</w:t>
      </w:r>
    </w:p>
    <w:p>
      <w:pPr>
        <w:pStyle w:val="FirstParagraph"/>
      </w:pPr>
      <w:r>
        <w:t xml:space="preserve">Teledyne enters 2Q26 with solid operational momentum, a favorable defense-imaging backdrop, improving leverage, and a guidance range that calls for another double-digit increase in adjusted EPS. The central question is less whether TDY can deliver the quarter—management’s</w:t>
      </w:r>
      <w:r>
        <w:t xml:space="preserve"> </w:t>
      </w:r>
      <m:oMath>
        <m:r>
          <m:t>5.70</m:t>
        </m:r>
        <m:r>
          <m:rPr>
            <m:sty m:val="p"/>
          </m:rPr>
          <m:t>–</m:t>
        </m:r>
      </m:oMath>
      <w:r>
        <w:t xml:space="preserve">5.80 adjusted-EPS outlook gives investors a relatively firm benchmark—and more whether it can</w:t>
      </w:r>
      <w:r>
        <w:t xml:space="preserve"> </w:t>
      </w:r>
      <w:r>
        <w:rPr>
          <w:b/>
          <w:bCs/>
        </w:rPr>
        <w:t xml:space="preserve">sustain organic growth and margin expansion while navigating tariffs, supply-chain exposure, and uneven industrial demand</w:t>
      </w:r>
      <w:r>
        <w:t xml:space="preserve">.</w:t>
      </w:r>
    </w:p>
    <w:p>
      <w:pPr>
        <w:pStyle w:val="BodyText"/>
      </w:pPr>
      <w:r>
        <w:t xml:space="preserve">The stock closed at **</w:t>
      </w:r>
      <m:oMath>
        <m:r>
          <m:t>647.52</m:t>
        </m:r>
        <m:r>
          <m:t>o</m:t>
        </m:r>
        <m:r>
          <m:t>n</m:t>
        </m:r>
        <m:r>
          <m:t>J</m:t>
        </m:r>
        <m:r>
          <m:t>u</m:t>
        </m:r>
        <m:r>
          <m:t>l</m:t>
        </m:r>
        <m:r>
          <m:t>y</m:t>
        </m:r>
        <m:r>
          <m:t>21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t>f</m:t>
        </m:r>
        <m:r>
          <m:t>l</m:t>
        </m:r>
        <m:r>
          <m:t>a</m:t>
        </m:r>
        <m:r>
          <m:t>t</m:t>
        </m:r>
        <m:r>
          <m:t>s</m:t>
        </m:r>
        <m:r>
          <m:t>i</m:t>
        </m:r>
        <m:r>
          <m:t>n</m:t>
        </m:r>
        <m:r>
          <m:t>c</m:t>
        </m:r>
        <m:r>
          <m:t>e</m:t>
        </m:r>
        <m:r>
          <m:t>t</m:t>
        </m:r>
        <m:r>
          <m:t>h</m:t>
        </m:r>
        <m:r>
          <m:t>e</m:t>
        </m:r>
        <m:r>
          <m:t>A</m:t>
        </m:r>
        <m:r>
          <m:t>p</m:t>
        </m:r>
        <m:r>
          <m:t>r</m:t>
        </m:r>
        <m:r>
          <m:t>i</m:t>
        </m:r>
        <m:r>
          <m:t>l</m:t>
        </m:r>
        <m:r>
          <m:t>22</m:t>
        </m:r>
        <m:r>
          <m:t>f</m:t>
        </m:r>
        <m:r>
          <m:t>i</m:t>
        </m:r>
        <m:r>
          <m:t>r</m:t>
        </m:r>
        <m:r>
          <m:t>s</m:t>
        </m:r>
        <m:r>
          <m:t>t</m:t>
        </m:r>
        <m:r>
          <m:rPr>
            <m:sty m:val="p"/>
          </m:rPr>
          <m:t>−</m:t>
        </m:r>
        <m:r>
          <m:t>q</m:t>
        </m:r>
        <m:r>
          <m:t>u</m:t>
        </m:r>
        <m:r>
          <m:t>a</m:t>
        </m:r>
        <m:r>
          <m:t>r</m:t>
        </m:r>
        <m:r>
          <m:t>t</m:t>
        </m:r>
        <m:r>
          <m:t>e</m:t>
        </m:r>
        <m:r>
          <m:t>r</m:t>
        </m:r>
        <m:r>
          <m:t>r</m:t>
        </m:r>
        <m:r>
          <m:t>e</m:t>
        </m:r>
        <m:r>
          <m:t>l</m:t>
        </m:r>
        <m:r>
          <m:t>e</m:t>
        </m:r>
        <m:r>
          <m:t>a</m:t>
        </m:r>
        <m:r>
          <m:t>s</m:t>
        </m:r>
        <m:r>
          <m:t>e</m:t>
        </m:r>
        <m:r>
          <m:rPr>
            <m:sty m:val="p"/>
          </m:rPr>
          <m:t>.</m:t>
        </m:r>
        <m:r>
          <m:t>A</m:t>
        </m:r>
        <m:r>
          <m:t>t</m:t>
        </m:r>
        <m:r>
          <m:t>t</m:t>
        </m:r>
        <m:r>
          <m:t>h</m:t>
        </m:r>
        <m:r>
          <m:t>a</m:t>
        </m:r>
        <m:r>
          <m:t>t</m:t>
        </m:r>
        <m:r>
          <m:t>p</m:t>
        </m:r>
        <m:r>
          <m:t>r</m:t>
        </m:r>
        <m:r>
          <m:t>i</m:t>
        </m:r>
        <m:r>
          <m:t>c</m:t>
        </m:r>
        <m:r>
          <m:t>e</m:t>
        </m:r>
        <m:r>
          <m:rPr>
            <m:sty m:val="p"/>
          </m:rPr>
          <m:t>,</m:t>
        </m:r>
        <m:r>
          <m:t>i</m:t>
        </m:r>
        <m:r>
          <m:t>t</m:t>
        </m:r>
        <m:r>
          <m:t>t</m:t>
        </m:r>
        <m:r>
          <m:t>r</m:t>
        </m:r>
        <m:r>
          <m:t>a</m:t>
        </m:r>
        <m:r>
          <m:t>d</m:t>
        </m:r>
        <m:r>
          <m:t>e</m:t>
        </m:r>
        <m:r>
          <m:t>s</m:t>
        </m:r>
        <m:r>
          <m:t>n</m:t>
        </m:r>
        <m:r>
          <m:t>e</m:t>
        </m:r>
        <m:r>
          <m:t>a</m:t>
        </m:r>
        <m:r>
          <m:t>r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27</m:t>
        </m:r>
        <m:r>
          <m:t>x</m:t>
        </m:r>
        <m:r>
          <m:t>t</m:t>
        </m:r>
        <m:r>
          <m:t>h</m:t>
        </m:r>
        <m:r>
          <m:t>e</m:t>
        </m:r>
        <m:r>
          <m:t>m</m:t>
        </m:r>
        <m:r>
          <m:t>i</m:t>
        </m:r>
        <m:r>
          <m:t>d</m:t>
        </m:r>
        <m:r>
          <m:t>p</m:t>
        </m:r>
        <m:r>
          <m:t>o</m:t>
        </m:r>
        <m:r>
          <m:t>i</m:t>
        </m:r>
        <m:r>
          <m:t>n</m:t>
        </m:r>
        <m:r>
          <m:t>t</m:t>
        </m:r>
        <m:r>
          <m:t>o</m:t>
        </m:r>
        <m:r>
          <m:t>f</m:t>
        </m:r>
        <m:r>
          <m:t>m</m:t>
        </m:r>
        <m:r>
          <m:t>a</m:t>
        </m:r>
        <m:r>
          <m:t>n</m:t>
        </m:r>
        <m:r>
          <m:t>a</m:t>
        </m:r>
        <m:r>
          <m:t>g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rPr>
            <m:sty m:val="p"/>
          </m:rPr>
          <m:t>’</m:t>
        </m:r>
        <m:r>
          <m:t>s</m:t>
        </m:r>
        <m:r>
          <m:t>F</m:t>
        </m:r>
        <m:r>
          <m:t>Y</m:t>
        </m:r>
        <m:r>
          <m:t>26</m:t>
        </m:r>
        <m:r>
          <m:t>a</m:t>
        </m:r>
        <m:r>
          <m:t>d</m:t>
        </m:r>
        <m:r>
          <m:t>j</m:t>
        </m:r>
        <m:r>
          <m:t>u</m:t>
        </m:r>
        <m:r>
          <m:t>s</m:t>
        </m:r>
        <m:r>
          <m:t>t</m:t>
        </m:r>
        <m:r>
          <m:t>e</m:t>
        </m:r>
        <m:r>
          <m:t>d</m:t>
        </m:r>
        <m:r>
          <m:rPr>
            <m:sty m:val="p"/>
          </m:rPr>
          <m:t>−</m:t>
        </m:r>
        <m:r>
          <m:t>E</m:t>
        </m:r>
        <m:r>
          <m:t>P</m:t>
        </m:r>
        <m:r>
          <m:t>S</m:t>
        </m:r>
        <m:r>
          <m:t>o</m:t>
        </m:r>
        <m:r>
          <m:t>u</m:t>
        </m:r>
        <m:r>
          <m:t>t</m:t>
        </m:r>
        <m:r>
          <m:t>l</m:t>
        </m:r>
        <m:r>
          <m:t>o</m:t>
        </m:r>
        <m:r>
          <m:t>o</m:t>
        </m:r>
        <m:r>
          <m:t>k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</m:oMath>
      <w:r>
        <w:t xml:space="preserve">24.00), implying that a merely in-line quarter may not be enough; investors are likely to focus on the quality of growth, the trajectory of orders, and whether full-year guidance moves higher again.</w:t>
      </w:r>
    </w:p>
    <w:bookmarkEnd w:id="9"/>
    <w:bookmarkStart w:id="10" w:name="X0e67a4a437bce1c7ba54b98b0a4601b446f958e"/>
    <w:p>
      <w:pPr>
        <w:pStyle w:val="Heading2"/>
      </w:pPr>
      <w:r>
        <w:t xml:space="preserve">The setup: what Teledyne has already told investors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1Q26 actual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2Q26 management outlook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2Q25 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$1.56bn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No revenue guidance provided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$1.51bn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GAAP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$4.85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4.75</m:t>
              </m:r>
              <m:r>
                <m:rPr>
                  <m:sty m:val="p"/>
                </m:rPr>
                <m:t>–</m:t>
              </m:r>
            </m:oMath>
            <w:r>
              <w:t xml:space="preserve">4.90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$4.43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$5.80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5.70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5.80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$5.20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GAAP operating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18.9%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18.4%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22.6%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22.2%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$204m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$196m</w:t>
            </w:r>
          </w:p>
        </w:tc>
      </w:tr>
    </w:tbl>
    <w:p>
      <w:pPr>
        <w:pStyle w:val="BodyText"/>
      </w:pPr>
      <w:r>
        <w:t xml:space="preserve">At the</w:t>
      </w:r>
      <w:r>
        <w:t xml:space="preserve"> </w:t>
      </w:r>
      <w:r>
        <w:rPr>
          <w:b/>
          <w:bCs/>
        </w:rPr>
        <w:t xml:space="preserve">$5.75 midpoint</w:t>
      </w:r>
      <w:r>
        <w:t xml:space="preserve"> </w:t>
      </w:r>
      <w:r>
        <w:t xml:space="preserve">of the 2Q26 adjusted-EPS range, Teledyne is guiding to roughly</w:t>
      </w:r>
      <w:r>
        <w:t xml:space="preserve"> </w:t>
      </w:r>
      <w:r>
        <w:rPr>
          <w:b/>
          <w:bCs/>
        </w:rPr>
        <w:t xml:space="preserve">11% year-over-year EPS growth</w:t>
      </w:r>
      <w:r>
        <w:t xml:space="preserve"> </w:t>
      </w:r>
      <w:r>
        <w:t xml:space="preserve">versus $5.20 in 2Q25. The GAAP midpoint of $4.83 similarly implies about</w:t>
      </w:r>
      <w:r>
        <w:t xml:space="preserve"> </w:t>
      </w:r>
      <w:r>
        <w:rPr>
          <w:b/>
          <w:bCs/>
        </w:rPr>
        <w:t xml:space="preserve">9% growth</w:t>
      </w:r>
      <w:r>
        <w:t xml:space="preserve"> </w:t>
      </w:r>
      <w:r>
        <w:t xml:space="preserve">year over year.</w:t>
      </w:r>
    </w:p>
    <w:p>
      <w:pPr>
        <w:pStyle w:val="BodyText"/>
      </w:pPr>
      <w:r>
        <w:t xml:space="preserve">Importantly, management raised its FY26 adjusted EPS outlook after 1Q—from</w:t>
      </w:r>
      <w:r>
        <w:t xml:space="preserve"> </w:t>
      </w:r>
      <m:oMath>
        <m:r>
          <m:t>23.45</m:t>
        </m:r>
        <m:r>
          <m:rPr>
            <m:sty m:val="p"/>
          </m:rPr>
          <m:t>–</m:t>
        </m:r>
      </m:oMath>
      <w:r>
        <w:rPr>
          <w:b/>
          <w:bCs/>
        </w:rPr>
        <w:t xml:space="preserve">23.85</w:t>
      </w:r>
      <w:r>
        <w:t xml:space="preserve"> </w:t>
      </w:r>
      <w:r>
        <w:t xml:space="preserve">to</w:t>
      </w:r>
      <w:r>
        <w:t xml:space="preserve"> </w:t>
      </w:r>
      <m:oMath>
        <m:r>
          <m:t>23.85</m:t>
        </m:r>
        <m:r>
          <m:rPr>
            <m:sty m:val="p"/>
          </m:rPr>
          <m:t>–</m:t>
        </m:r>
      </m:oMath>
      <w:r>
        <w:rPr>
          <w:b/>
          <w:bCs/>
        </w:rPr>
        <w:t xml:space="preserve">24.15</w:t>
      </w:r>
      <w:r>
        <w:t xml:space="preserve">. The new $24.00 midpoint is a $0.35 increase from the prior midpoint. Maintaining that raised guide after the quarter would be constructive; another increase would reinforce that first-quarter strength was not simply a timing benefit.</w:t>
      </w:r>
    </w:p>
    <w:bookmarkEnd w:id="10"/>
    <w:bookmarkStart w:id="15" w:name="what-matters-most-in-the-print"/>
    <w:p>
      <w:pPr>
        <w:pStyle w:val="Heading2"/>
      </w:pPr>
      <w:r>
        <w:t xml:space="preserve">What matters most in the print</w:t>
      </w:r>
    </w:p>
    <w:bookmarkStart w:id="11" w:name="X16135c375b2381e22598bea53542b3ebc9b6d90"/>
    <w:p>
      <w:pPr>
        <w:pStyle w:val="Heading3"/>
      </w:pPr>
      <w:r>
        <w:t xml:space="preserve">1. Digital Imaging must remain the primary growth engine</w:t>
      </w:r>
    </w:p>
    <w:p>
      <w:pPr>
        <w:pStyle w:val="FirstParagraph"/>
      </w:pPr>
      <w:r>
        <w:t xml:space="preserve">Digital Imaging is Teledyne’s largest business, contributing roughly 52% of 1Q revenue. In 1Q, segment sales rose</w:t>
      </w:r>
      <w:r>
        <w:t xml:space="preserve"> </w:t>
      </w:r>
      <w:r>
        <w:rPr>
          <w:b/>
          <w:bCs/>
        </w:rPr>
        <w:t xml:space="preserve">7.9%</w:t>
      </w:r>
      <w:r>
        <w:t xml:space="preserve"> </w:t>
      </w:r>
      <w:r>
        <w:t xml:space="preserve">and operating income rose</w:t>
      </w:r>
      <w:r>
        <w:t xml:space="preserve"> </w:t>
      </w:r>
      <w:r>
        <w:rPr>
          <w:b/>
          <w:bCs/>
        </w:rPr>
        <w:t xml:space="preserve">15.9%</w:t>
      </w:r>
      <w:r>
        <w:t xml:space="preserve">, helped by infrared imaging detectors and systems, surveillance products, and unmanned-air systems serving defense customers.</w:t>
      </w:r>
    </w:p>
    <w:p>
      <w:pPr>
        <w:pStyle w:val="BodyText"/>
      </w:pPr>
      <w:r>
        <w:t xml:space="preserve">The key read-through for 2Q:</w:t>
      </w:r>
    </w:p>
    <w:p>
      <w:pPr>
        <w:pStyle w:val="Compact"/>
        <w:numPr>
          <w:ilvl w:val="0"/>
          <w:numId w:val="1001"/>
        </w:numPr>
      </w:pPr>
      <w:r>
        <w:t xml:space="preserve">Continued strength in</w:t>
      </w:r>
      <w:r>
        <w:t xml:space="preserve"> </w:t>
      </w:r>
      <w:r>
        <w:rPr>
          <w:b/>
          <w:bCs/>
        </w:rPr>
        <w:t xml:space="preserve">infrared detectors, imaging systems, surveillance, and unmanned platforms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Evidence that commercial imaging, industrial imaging, and X-ray demand remains on a recovery path;</w:t>
      </w:r>
    </w:p>
    <w:p>
      <w:pPr>
        <w:pStyle w:val="Compact"/>
        <w:numPr>
          <w:ilvl w:val="0"/>
          <w:numId w:val="1001"/>
        </w:numPr>
      </w:pPr>
      <w:r>
        <w:t xml:space="preserve">Whether higher R&amp;D spending remains an investment in attractive programs rather than a recurring drag on margins.</w:t>
      </w:r>
    </w:p>
    <w:p>
      <w:pPr>
        <w:pStyle w:val="FirstParagraph"/>
      </w:pPr>
      <w:r>
        <w:t xml:space="preserve">Digital Imaging generated a</w:t>
      </w:r>
      <w:r>
        <w:t xml:space="preserve"> </w:t>
      </w:r>
      <w:r>
        <w:rPr>
          <w:b/>
          <w:bCs/>
        </w:rPr>
        <w:t xml:space="preserve">17.3% GAAP operating margin</w:t>
      </w:r>
      <w:r>
        <w:t xml:space="preserve"> </w:t>
      </w:r>
      <w:r>
        <w:t xml:space="preserve">in 1Q, up 110 basis points year over year despite elevated R&amp;D. Sustaining or improving this margin would be a high-quality outcome.</w:t>
      </w:r>
    </w:p>
    <w:bookmarkEnd w:id="11"/>
    <w:bookmarkStart w:id="12" w:name="X97a81ce3cd63351bd900f8966c45d20b2d8e455"/>
    <w:p>
      <w:pPr>
        <w:pStyle w:val="Heading3"/>
      </w:pPr>
      <w:r>
        <w:t xml:space="preserve">2. Defense is supportive—but organic growth quality is crucial</w:t>
      </w:r>
    </w:p>
    <w:p>
      <w:pPr>
        <w:pStyle w:val="FirstParagraph"/>
      </w:pPr>
      <w:r>
        <w:t xml:space="preserve">Teledyne is benefiting from higher global defense spending. In 1Q, Aerospace &amp; Defense Electronics revenue grew</w:t>
      </w:r>
      <w:r>
        <w:t xml:space="preserve"> </w:t>
      </w:r>
      <w:r>
        <w:rPr>
          <w:b/>
          <w:bCs/>
        </w:rPr>
        <w:t xml:space="preserve">14.4%</w:t>
      </w:r>
      <w:r>
        <w:t xml:space="preserve">, while segment operating income increased</w:t>
      </w:r>
      <w:r>
        <w:t xml:space="preserve"> </w:t>
      </w:r>
      <w:r>
        <w:rPr>
          <w:b/>
          <w:bCs/>
        </w:rPr>
        <w:t xml:space="preserve">28.2%</w:t>
      </w:r>
      <w:r>
        <w:t xml:space="preserve">. However, acquisitions supplied</w:t>
      </w:r>
      <w:r>
        <w:t xml:space="preserve"> </w:t>
      </w:r>
      <w:r>
        <w:rPr>
          <w:b/>
          <w:bCs/>
        </w:rPr>
        <w:t xml:space="preserve">$20.3m</w:t>
      </w:r>
      <w:r>
        <w:t xml:space="preserve"> </w:t>
      </w:r>
      <w:r>
        <w:t xml:space="preserve">of the segment’s $35.0m sales increase, so underlying demand—not just acquired revenue—will matter.</w:t>
      </w:r>
    </w:p>
    <w:p>
      <w:pPr>
        <w:pStyle w:val="BodyText"/>
      </w:pPr>
      <w:r>
        <w:t xml:space="preserve">Investors should look for management commentary on:</w:t>
      </w:r>
    </w:p>
    <w:p>
      <w:pPr>
        <w:pStyle w:val="Compact"/>
        <w:numPr>
          <w:ilvl w:val="0"/>
          <w:numId w:val="1002"/>
        </w:numPr>
      </w:pPr>
      <w:r>
        <w:t xml:space="preserve">Defense-electronics order flow and program timing;</w:t>
      </w:r>
    </w:p>
    <w:p>
      <w:pPr>
        <w:pStyle w:val="Compact"/>
        <w:numPr>
          <w:ilvl w:val="0"/>
          <w:numId w:val="1002"/>
        </w:numPr>
      </w:pPr>
      <w:r>
        <w:t xml:space="preserve">Demand for surveillance, imaging, unmanned systems, and space-related applications;</w:t>
      </w:r>
    </w:p>
    <w:p>
      <w:pPr>
        <w:pStyle w:val="Compact"/>
        <w:numPr>
          <w:ilvl w:val="0"/>
          <w:numId w:val="1002"/>
        </w:numPr>
      </w:pPr>
      <w:r>
        <w:t xml:space="preserve">Book-to-bill or backlog direction, if disclosed;</w:t>
      </w:r>
    </w:p>
    <w:p>
      <w:pPr>
        <w:pStyle w:val="Compact"/>
        <w:numPr>
          <w:ilvl w:val="0"/>
          <w:numId w:val="1002"/>
        </w:numPr>
      </w:pPr>
      <w:r>
        <w:t xml:space="preserve">Exposure to procurement timing and export-license delays.</w:t>
      </w:r>
    </w:p>
    <w:p>
      <w:pPr>
        <w:pStyle w:val="FirstParagraph"/>
      </w:pPr>
      <w:r>
        <w:t xml:space="preserve">The defense backdrop is favorable, but it also introduces execution and supply-chain considerations. Recent policy attention on defense-sector supply chains raises the importance of management’s sourcing and component-availability commentary.</w:t>
      </w:r>
    </w:p>
    <w:bookmarkEnd w:id="12"/>
    <w:bookmarkStart w:id="13" w:name="X372564faa596e1a2c7ad9bdc0f68c51ebf8d8ad"/>
    <w:p>
      <w:pPr>
        <w:pStyle w:val="Heading3"/>
      </w:pPr>
      <w:r>
        <w:t xml:space="preserve">3. Instrumentation margin is the main operational swing factor</w:t>
      </w:r>
    </w:p>
    <w:p>
      <w:pPr>
        <w:pStyle w:val="FirstParagraph"/>
      </w:pPr>
      <w:r>
        <w:t xml:space="preserve">Instrumentation sales grew</w:t>
      </w:r>
      <w:r>
        <w:t xml:space="preserve"> </w:t>
      </w:r>
      <w:r>
        <w:rPr>
          <w:b/>
          <w:bCs/>
        </w:rPr>
        <w:t xml:space="preserve">5.3%</w:t>
      </w:r>
      <w:r>
        <w:t xml:space="preserve"> </w:t>
      </w:r>
      <w:r>
        <w:t xml:space="preserve">in 1Q, supported by marine instrumentation and gas-detection demand. But segment operating income fell</w:t>
      </w:r>
      <w:r>
        <w:t xml:space="preserve"> </w:t>
      </w:r>
      <w:r>
        <w:rPr>
          <w:b/>
          <w:bCs/>
        </w:rPr>
        <w:t xml:space="preserve">4.6%</w:t>
      </w:r>
      <w:r>
        <w:t xml:space="preserve">, and margin contracted to</w:t>
      </w:r>
      <w:r>
        <w:t xml:space="preserve"> </w:t>
      </w:r>
      <w:r>
        <w:rPr>
          <w:b/>
          <w:bCs/>
        </w:rPr>
        <w:t xml:space="preserve">24.5% from 27.0%</w:t>
      </w:r>
      <w:r>
        <w:t xml:space="preserve">, primarily due to unfavorable product mix.</w:t>
      </w:r>
    </w:p>
    <w:p>
      <w:pPr>
        <w:pStyle w:val="BodyText"/>
      </w:pPr>
      <w:r>
        <w:t xml:space="preserve">That makes Instrumentation arguably the most important margin watch item for 2Q. A rebound would support the thesis that the 1Q pressure was temporary mix noise. Continued deterioration would raise questions about whether strong revenue is converting to earnings at the expected rate.</w:t>
      </w:r>
    </w:p>
    <w:p>
      <w:pPr>
        <w:pStyle w:val="BodyText"/>
      </w:pPr>
      <w:r>
        <w:t xml:space="preserve">Specific items to watch:</w:t>
      </w:r>
    </w:p>
    <w:p>
      <w:pPr>
        <w:pStyle w:val="Compact"/>
        <w:numPr>
          <w:ilvl w:val="0"/>
          <w:numId w:val="1003"/>
        </w:numPr>
      </w:pPr>
      <w:r>
        <w:t xml:space="preserve">Offshore energy and defense-related marine demand;</w:t>
      </w:r>
    </w:p>
    <w:p>
      <w:pPr>
        <w:pStyle w:val="Compact"/>
        <w:numPr>
          <w:ilvl w:val="0"/>
          <w:numId w:val="1003"/>
        </w:numPr>
      </w:pPr>
      <w:r>
        <w:t xml:space="preserve">Environmental instrumentation and gas-detection growth;</w:t>
      </w:r>
    </w:p>
    <w:p>
      <w:pPr>
        <w:pStyle w:val="Compact"/>
        <w:numPr>
          <w:ilvl w:val="0"/>
          <w:numId w:val="1003"/>
        </w:numPr>
      </w:pPr>
      <w:r>
        <w:t xml:space="preserve">Test-and-measurement trends;</w:t>
      </w:r>
    </w:p>
    <w:p>
      <w:pPr>
        <w:pStyle w:val="Compact"/>
        <w:numPr>
          <w:ilvl w:val="0"/>
          <w:numId w:val="1003"/>
        </w:numPr>
      </w:pPr>
      <w:r>
        <w:t xml:space="preserve">Mix, pricing, and gross-margin recovery.</w:t>
      </w:r>
    </w:p>
    <w:bookmarkEnd w:id="13"/>
    <w:bookmarkStart w:id="14" w:name="X1742c157af9f42ba7acb71239c5d5b25f3f410e"/>
    <w:p>
      <w:pPr>
        <w:pStyle w:val="Heading3"/>
      </w:pPr>
      <w:r>
        <w:t xml:space="preserve">4. Guidance, not just the headline beat, should drive the reaction</w:t>
      </w:r>
    </w:p>
    <w:p>
      <w:pPr>
        <w:pStyle w:val="FirstParagraph"/>
      </w:pPr>
      <w:r>
        <w:t xml:space="preserve">TDY has a history of managing guidance carefully. In 2Q25, management noted that results likely benefited from some accelerated demand amid trade-policy uncertainty and expressed caution regarding the following quarter. This time, the market will be looking for a clearer read on whether tariffs or customer purchasing behavior affected 2Q demand.</w:t>
      </w:r>
    </w:p>
    <w:p>
      <w:pPr>
        <w:pStyle w:val="BodyText"/>
      </w:pPr>
      <w:r>
        <w:rPr>
          <w:b/>
          <w:bCs/>
        </w:rPr>
        <w:t xml:space="preserve">Bullish outcome:</w:t>
      </w:r>
    </w:p>
    <w:p>
      <w:pPr>
        <w:pStyle w:val="Compact"/>
        <w:numPr>
          <w:ilvl w:val="0"/>
          <w:numId w:val="1004"/>
        </w:numPr>
      </w:pPr>
      <w:r>
        <w:t xml:space="preserve">Adjusted EPS at or above the high end of</w:t>
      </w:r>
      <w:r>
        <w:t xml:space="preserve"> </w:t>
      </w:r>
      <m:oMath>
        <m:r>
          <m:t>5.70</m:t>
        </m:r>
        <m:r>
          <m:rPr>
            <m:sty m:val="p"/>
          </m:rPr>
          <m:t>–</m:t>
        </m:r>
      </m:oMath>
      <w:r>
        <w:t xml:space="preserve">5.80;</w:t>
      </w:r>
    </w:p>
    <w:p>
      <w:pPr>
        <w:pStyle w:val="Compact"/>
        <w:numPr>
          <w:ilvl w:val="0"/>
          <w:numId w:val="1004"/>
        </w:numPr>
      </w:pPr>
      <w:r>
        <w:t xml:space="preserve">Broad organic growth across Digital Imaging, defense electronics, and Instrumentation;</w:t>
      </w:r>
    </w:p>
    <w:p>
      <w:pPr>
        <w:pStyle w:val="Compact"/>
        <w:numPr>
          <w:ilvl w:val="0"/>
          <w:numId w:val="1004"/>
        </w:numPr>
      </w:pPr>
      <w:r>
        <w:t xml:space="preserve">Stable-to-improving adjusted operating margin;</w:t>
      </w:r>
    </w:p>
    <w:p>
      <w:pPr>
        <w:pStyle w:val="Compact"/>
        <w:numPr>
          <w:ilvl w:val="0"/>
          <w:numId w:val="1004"/>
        </w:numPr>
      </w:pPr>
      <w:r>
        <w:t xml:space="preserve">FY26 adjusted EPS guidance raised above the current</w:t>
      </w:r>
      <w:r>
        <w:t xml:space="preserve"> </w:t>
      </w:r>
      <m:oMath>
        <m:r>
          <m:t>23.85</m:t>
        </m:r>
        <m:r>
          <m:rPr>
            <m:sty m:val="p"/>
          </m:rPr>
          <m:t>–</m:t>
        </m:r>
      </m:oMath>
      <w:r>
        <w:t xml:space="preserve">24.15 range.</w:t>
      </w:r>
    </w:p>
    <w:p>
      <w:pPr>
        <w:pStyle w:val="FirstParagraph"/>
      </w:pPr>
      <w:r>
        <w:rPr>
          <w:b/>
          <w:bCs/>
        </w:rPr>
        <w:t xml:space="preserve">More muted outcome:</w:t>
      </w:r>
    </w:p>
    <w:p>
      <w:pPr>
        <w:pStyle w:val="Compact"/>
        <w:numPr>
          <w:ilvl w:val="0"/>
          <w:numId w:val="1005"/>
        </w:numPr>
      </w:pPr>
      <w:r>
        <w:t xml:space="preserve">EPS within the range, but largely acquisition-led;</w:t>
      </w:r>
    </w:p>
    <w:p>
      <w:pPr>
        <w:pStyle w:val="Compact"/>
        <w:numPr>
          <w:ilvl w:val="0"/>
          <w:numId w:val="1005"/>
        </w:numPr>
      </w:pPr>
      <w:r>
        <w:t xml:space="preserve">Continued Instrumentation margin pressure;</w:t>
      </w:r>
    </w:p>
    <w:p>
      <w:pPr>
        <w:pStyle w:val="Compact"/>
        <w:numPr>
          <w:ilvl w:val="0"/>
          <w:numId w:val="1005"/>
        </w:numPr>
      </w:pPr>
      <w:r>
        <w:t xml:space="preserve">Cautious commentary on tariffs, rare-earth availability, government award timing, or commercial end markets;</w:t>
      </w:r>
    </w:p>
    <w:p>
      <w:pPr>
        <w:pStyle w:val="Compact"/>
        <w:numPr>
          <w:ilvl w:val="0"/>
          <w:numId w:val="1005"/>
        </w:numPr>
      </w:pPr>
      <w:r>
        <w:t xml:space="preserve">No change to full-year guidance despite a quarterly beat.</w:t>
      </w:r>
    </w:p>
    <w:bookmarkEnd w:id="14"/>
    <w:bookmarkEnd w:id="15"/>
    <w:bookmarkStart w:id="16" w:name="Xc70ae66f7baaadcfd630a71adbb9552671f7d30"/>
    <w:p>
      <w:pPr>
        <w:pStyle w:val="Heading2"/>
      </w:pPr>
      <w:r>
        <w:t xml:space="preserve">Cash flow, leverage, and capital deployment</w:t>
      </w:r>
    </w:p>
    <w:p>
      <w:pPr>
        <w:pStyle w:val="FirstParagraph"/>
      </w:pPr>
      <w:r>
        <w:t xml:space="preserve">Teledyne’s balance-sheet trajectory is a meaningful positive. In 1Q, the company generated</w:t>
      </w:r>
      <w:r>
        <w:t xml:space="preserve"> </w:t>
      </w:r>
      <m:oMath>
        <m:r>
          <m:t>234</m:t>
        </m:r>
        <m:r>
          <m:t>m</m:t>
        </m:r>
        <m:r>
          <m:t>o</m:t>
        </m:r>
        <m:r>
          <m:t>f</m:t>
        </m:r>
        <m:r>
          <m:t>o</m:t>
        </m:r>
        <m:r>
          <m:t>p</m:t>
        </m:r>
        <m:r>
          <m:t>e</m:t>
        </m:r>
        <m:r>
          <m:t>r</m:t>
        </m:r>
        <m:r>
          <m:t>a</m:t>
        </m:r>
        <m:r>
          <m:t>t</m:t>
        </m:r>
        <m:r>
          <m:t>i</m:t>
        </m:r>
        <m:r>
          <m:t>n</m:t>
        </m:r>
        <m:r>
          <m:t>g</m:t>
        </m:r>
        <m:r>
          <m:t>c</m:t>
        </m:r>
        <m:r>
          <m:t>a</m:t>
        </m:r>
        <m:r>
          <m:t>s</m:t>
        </m:r>
        <m:r>
          <m:t>h</m:t>
        </m:r>
        <m:r>
          <m:t>f</m:t>
        </m:r>
        <m:r>
          <m:t>l</m:t>
        </m:r>
        <m:r>
          <m:t>o</m:t>
        </m:r>
        <m:r>
          <m:t>w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204m of free cash flow</w:t>
      </w:r>
      <w:r>
        <w:t xml:space="preserve">. It finished the quarter with net debt of</w:t>
      </w:r>
      <w:r>
        <w:t xml:space="preserve"> </w:t>
      </w:r>
      <m:oMath>
        <m:r>
          <m:t>1.95</m:t>
        </m:r>
        <m:r>
          <m:t>b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t</m:t>
        </m:r>
        <m:r>
          <m:t>h</m:t>
        </m:r>
        <m:r>
          <m:t>e</m:t>
        </m:r>
        <m:r>
          <m:t>n</m:t>
        </m:r>
        <m:r>
          <m:t>r</m:t>
        </m:r>
        <m:r>
          <m:t>e</m:t>
        </m:r>
        <m:r>
          <m:t>p</m:t>
        </m:r>
        <m:r>
          <m:t>a</m:t>
        </m:r>
        <m:r>
          <m:t>i</m:t>
        </m:r>
        <m:r>
          <m:t>d</m:t>
        </m:r>
        <m:r>
          <m:t>a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450m</w:t>
      </w:r>
      <w:r>
        <w:t xml:space="preserve"> </w:t>
      </w:r>
      <w:r>
        <w:t xml:space="preserve">debt maturity after quarter-end using cash on hand. Its consolidated leverage ratio stood at</w:t>
      </w:r>
      <w:r>
        <w:t xml:space="preserve"> </w:t>
      </w:r>
      <w:r>
        <w:rPr>
          <w:b/>
          <w:bCs/>
        </w:rPr>
        <w:t xml:space="preserve">1.3x</w:t>
      </w:r>
      <w:r>
        <w:t xml:space="preserve">.</w:t>
      </w:r>
    </w:p>
    <w:p>
      <w:pPr>
        <w:pStyle w:val="BodyText"/>
      </w:pPr>
      <w:r>
        <w:t xml:space="preserve">This gives management flexibility across four uses of capital:</w:t>
      </w:r>
    </w:p>
    <w:p>
      <w:pPr>
        <w:pStyle w:val="Compact"/>
        <w:numPr>
          <w:ilvl w:val="0"/>
          <w:numId w:val="1006"/>
        </w:numPr>
      </w:pPr>
      <w:r>
        <w:t xml:space="preserve">Bolt-on acquisitions;</w:t>
      </w:r>
    </w:p>
    <w:p>
      <w:pPr>
        <w:pStyle w:val="Compact"/>
        <w:numPr>
          <w:ilvl w:val="0"/>
          <w:numId w:val="1006"/>
        </w:numPr>
      </w:pPr>
      <w:r>
        <w:t xml:space="preserve">Debt reduction;</w:t>
      </w:r>
    </w:p>
    <w:p>
      <w:pPr>
        <w:pStyle w:val="Compact"/>
        <w:numPr>
          <w:ilvl w:val="0"/>
          <w:numId w:val="1006"/>
        </w:numPr>
      </w:pPr>
      <w:r>
        <w:t xml:space="preserve">Internal capex and R&amp;D;</w:t>
      </w:r>
    </w:p>
    <w:p>
      <w:pPr>
        <w:pStyle w:val="Compact"/>
        <w:numPr>
          <w:ilvl w:val="0"/>
          <w:numId w:val="1006"/>
        </w:numPr>
      </w:pPr>
      <w:r>
        <w:t xml:space="preserve">Share repurchases.</w:t>
      </w:r>
    </w:p>
    <w:p>
      <w:pPr>
        <w:pStyle w:val="FirstParagraph"/>
      </w:pPr>
      <w:r>
        <w:t xml:space="preserve">TDY had</w:t>
      </w:r>
      <w:r>
        <w:t xml:space="preserve"> </w:t>
      </w:r>
      <w:r>
        <w:rPr>
          <w:b/>
          <w:bCs/>
        </w:rPr>
        <w:t xml:space="preserve">$1.6bn</w:t>
      </w:r>
      <w:r>
        <w:t xml:space="preserve"> </w:t>
      </w:r>
      <w:r>
        <w:t xml:space="preserve">remaining on its repurchase authorization at the end of 1Q, though it did not repurchase shares in that quarter. Investors should listen for whether the recent share-price range has made buybacks more attractive relative to acquisitions.</w:t>
      </w:r>
    </w:p>
    <w:p>
      <w:pPr>
        <w:pStyle w:val="BodyText"/>
      </w:pPr>
      <w:r>
        <w:t xml:space="preserve">Working capital also bears watching: 1Q inventory rose to</w:t>
      </w:r>
      <w:r>
        <w:t xml:space="preserve"> </w:t>
      </w:r>
      <w:r>
        <w:rPr>
          <w:b/>
          <w:bCs/>
        </w:rPr>
        <w:t xml:space="preserve">$1.12bn</w:t>
      </w:r>
      <w:r>
        <w:t xml:space="preserve"> </w:t>
      </w:r>
      <w:r>
        <w:t xml:space="preserve">from $1.04bn at year-end, contributing to lower operating cash flow versus the prior year. A normalization of inventory investment would support stronger second-half cash conversion.</w:t>
      </w:r>
    </w:p>
    <w:bookmarkEnd w:id="16"/>
    <w:bookmarkStart w:id="17" w:name="principal-risks-into-the-call"/>
    <w:p>
      <w:pPr>
        <w:pStyle w:val="Heading2"/>
      </w:pPr>
      <w:r>
        <w:t xml:space="preserve">Principal risks into the call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Tariffs and trade policy:</w:t>
      </w:r>
      <w:r>
        <w:t xml:space="preserve"> </w:t>
      </w:r>
      <w:r>
        <w:t xml:space="preserve">Teledyne cited a dynamic global tariff environment, potential retaliatory actions, and uncertainty over potential refunds from tariffs invalidated by the U.S. Supreme Court in February 2026.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Rare-earth and component sourcing:</w:t>
      </w:r>
      <w:r>
        <w:t xml:space="preserve"> </w:t>
      </w:r>
      <w:r>
        <w:t xml:space="preserve">China-related restrictions and broader supply-chain friction could create cost or delivery risk.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Government timing:</w:t>
      </w:r>
      <w:r>
        <w:t xml:space="preserve"> </w:t>
      </w:r>
      <w:r>
        <w:t xml:space="preserve">Contract awards, export licenses, shipments, and invoice payments can be delayed by U.S. government disruptions.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Commercial aerospace and industrial cyclicality:</w:t>
      </w:r>
      <w:r>
        <w:t xml:space="preserve"> </w:t>
      </w:r>
      <w:r>
        <w:t xml:space="preserve">Lower aircraft production rates or weaker industrial demand would pressure portions of the portfolio.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Acquisition and mix effects:</w:t>
      </w:r>
      <w:r>
        <w:t xml:space="preserve"> </w:t>
      </w:r>
      <w:r>
        <w:t xml:space="preserve">Acquisitions are helping growth but also add intangible amortization; product mix has already weighed on Instrumentation margins.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Foreign exchange and geopolitical disruptions:</w:t>
      </w:r>
      <w:r>
        <w:t xml:space="preserve"> </w:t>
      </w:r>
      <w:r>
        <w:t xml:space="preserve">These remain potential sources of earnings and supply-chain volatility.</w:t>
      </w:r>
    </w:p>
    <w:bookmarkEnd w:id="17"/>
    <w:bookmarkStart w:id="19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Teledyne’s 2Q26 setup is constructive: management is guiding for about 11% adjusted-EPS growth, defense and imaging demand remain supportive, 1Q margins were strong, and leverage has moved down materially. The most important confirmation points are</w:t>
      </w:r>
      <w:r>
        <w:t xml:space="preserve"> </w:t>
      </w:r>
      <w:r>
        <w:rPr>
          <w:b/>
          <w:bCs/>
        </w:rPr>
        <w:t xml:space="preserve">organic growth, Instrumentation-margin recovery, order trends, and the direction of FY26 guidance</w:t>
      </w:r>
      <w:r>
        <w:t xml:space="preserve">.</w:t>
      </w:r>
    </w:p>
    <w:p>
      <w:pPr>
        <w:pStyle w:val="BodyText"/>
      </w:pPr>
      <w:r>
        <w:t xml:space="preserve">A result near the high end of guidance accompanied by a full-year raise would strengthen the case that TDY’s diversified sensing and defense portfolio is producing durable earnings growth. Conversely, an in-line result paired with tariff-related caution, weaker order commentary, or continued mix-driven margin pressure could limit upside given the stock’s approximately 27x forward adjusted-EPS valuation.</w:t>
      </w:r>
    </w:p>
    <w:p>
      <w:r>
        <w:pict>
          <v:rect style="width:0;height:1.5pt" o:hralign="center" o:hrstd="t" o:hr="t"/>
        </w:pict>
      </w:r>
    </w:p>
    <w:bookmarkStart w:id="18" w:name="research-basis"/>
    <w:p>
      <w:pPr>
        <w:pStyle w:val="Heading3"/>
      </w:pPr>
      <w:r>
        <w:t xml:space="preserve">Research basis</w:t>
      </w:r>
    </w:p>
    <w:p>
      <w:pPr>
        <w:pStyle w:val="Compact"/>
        <w:numPr>
          <w:ilvl w:val="0"/>
          <w:numId w:val="1008"/>
        </w:numPr>
      </w:pPr>
      <w:r>
        <w:t xml:space="preserve">Teledyne 1Q26 earnings release and 1Q26 Form 10-Q</w:t>
      </w:r>
    </w:p>
    <w:p>
      <w:pPr>
        <w:pStyle w:val="Compact"/>
        <w:numPr>
          <w:ilvl w:val="0"/>
          <w:numId w:val="1008"/>
        </w:numPr>
      </w:pPr>
      <w:r>
        <w:t xml:space="preserve">Teledyne 2Q26 earnings webcast announcement</w:t>
      </w:r>
    </w:p>
    <w:p>
      <w:pPr>
        <w:pStyle w:val="Compact"/>
        <w:numPr>
          <w:ilvl w:val="0"/>
          <w:numId w:val="1008"/>
        </w:numPr>
      </w:pPr>
      <w:r>
        <w:t xml:space="preserve">Teledyne 2Q25 earnings release</w:t>
      </w:r>
    </w:p>
    <w:p>
      <w:pPr>
        <w:pStyle w:val="Compact"/>
        <w:numPr>
          <w:ilvl w:val="0"/>
          <w:numId w:val="1008"/>
        </w:numPr>
      </w:pPr>
      <w:r>
        <w:t xml:space="preserve">TDY historical closing-price data through July 21, 2026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2026-07-22T00:27:53Z</dcterms:created>
  <dcterms:modified xsi:type="dcterms:W3CDTF">2026-07-22T00:27:53Z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