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Teledyne Technologies (TDY) — Q2 2026 Earnings Preview</w:t>
      </w:r>
    </w:p>
    <w:p>
      <w:r>
        <w:rPr>
          <w:rFonts w:ascii="Calibri" w:hAnsi="Calibri"/>
          <w:b/>
          <w:color w:val="525866"/>
          <w:sz w:val="22"/>
        </w:rPr>
        <w:t xml:space="preserve">Ticker: </w:t>
      </w:r>
      <w:r>
        <w:rPr>
          <w:rFonts w:ascii="Calibri" w:hAnsi="Calibri"/>
          <w:color w:val="525866"/>
          <w:sz w:val="22"/>
        </w:rPr>
        <w:t xml:space="preserve">TDY   </w:t>
      </w:r>
      <w:r>
        <w:rPr>
          <w:rFonts w:ascii="Calibri" w:hAnsi="Calibri"/>
          <w:b/>
          <w:color w:val="525866"/>
          <w:sz w:val="22"/>
        </w:rPr>
        <w:t xml:space="preserve">Upcoming Earnings: </w:t>
      </w:r>
      <w:r>
        <w:rPr>
          <w:rFonts w:ascii="Calibri" w:hAnsi="Calibri"/>
          <w:color w:val="525866"/>
          <w:sz w:val="22"/>
        </w:rPr>
        <w:t xml:space="preserve">Expected late July 2026 (Q2 2026 webcast announced July 14, 2026)   </w:t>
      </w:r>
      <w:r>
        <w:rPr>
          <w:rFonts w:ascii="Calibri" w:hAnsi="Calibri"/>
          <w:b/>
          <w:color w:val="525866"/>
          <w:sz w:val="22"/>
        </w:rPr>
        <w:t xml:space="preserve">Prepared: </w:t>
      </w:r>
      <w:r>
        <w:rPr>
          <w:rFonts w:ascii="Calibri" w:hAnsi="Calibri"/>
          <w:color w:val="525866"/>
          <w:sz w:val="22"/>
        </w:rPr>
        <w:t>July 21,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TDY’s Q2 2026 print is constructive — consensus sits at a manageable bar ($5.79 non-GAAP EPS vs. Q1’s $5.80 beat) while management’s raised full-year guidance ($23.85–$24.15) implies meaningful back-half acceleration; the biggest swing factor is whether </w:t>
      </w:r>
      <w:r>
        <w:rPr>
          <w:rFonts w:ascii="Calibri" w:hAnsi="Calibri"/>
          <w:b/>
          <w:color w:val="525866"/>
          <w:sz w:val="22"/>
        </w:rPr>
        <w:t>Digital Imaging organic growth momentum</w:t>
      </w:r>
      <w:r>
        <w:rPr>
          <w:rFonts w:ascii="Calibri" w:hAnsi="Calibri"/>
          <w:color w:val="525866"/>
          <w:sz w:val="22"/>
        </w:rPr>
        <w:t xml:space="preserve"> (book-to-bill of 1.38x in Q1) continues to translate into revenue outperformance.</w:t>
      </w:r>
    </w:p>
    <w:p>
      <w:r>
        <w:rPr>
          <w:rFonts w:ascii="Calibri" w:hAnsi="Calibri"/>
          <w:color w:val="525866"/>
          <w:sz w:val="22"/>
        </w:rPr>
        <w:t xml:space="preserve">Heading into Q2 2026, Teledyne’s bar looks achievable rather than stretched: consensus non-GAAP EPS of $5.79 is essentially flat with Q1’s record $5.80 print, yet management’s raised full-year guidance midpoint of ~$24.00 implies a meaningful step-up in the second half, suggesting the street may be leaving room for upside. </w:t>
      </w:r>
      <w:r>
        <w:rPr>
          <w:rFonts w:ascii="Calibri" w:hAnsi="Calibri"/>
          <w:b/>
          <w:color w:val="525866"/>
          <w:sz w:val="22"/>
        </w:rPr>
        <w:t>Management’s posture has shifted decisively more confident since the Q1 print</w:t>
      </w:r>
      <w:r>
        <w:rPr>
          <w:rFonts w:ascii="Calibri" w:hAnsi="Calibri"/>
          <w:color w:val="525866"/>
          <w:sz w:val="22"/>
        </w:rPr>
        <w:t xml:space="preserve"> — the Iran conflict and European defense buildout were cited as near-term demand catalysts, CapEx and R&amp;D were stepped up materially (described as unusual for this point in the year), and the company flagged unannounced government investment in Teledyne’s capacity. Estimate revisions have been modest and orderly since the April 22 earnings release, with Q2 consensus revenue at $1.580B and FY 2026 at $6.429B, both tracking closely to guidance — no divergence that signals hidden risk or cushion. The stock has underperformed ITA (the A&amp;D ETF) since last earnings, declining ~4% vs. ITA’s +5% gain, suggesting the market has not yet priced in a beat and the multiple has compressed slightly, creating a more favorable risk/reward setup. The key wildcard is </w:t>
      </w:r>
      <w:r>
        <w:rPr>
          <w:rFonts w:ascii="Calibri" w:hAnsi="Calibri"/>
          <w:b/>
          <w:color w:val="525866"/>
          <w:sz w:val="22"/>
        </w:rPr>
        <w:t>defense order acceleration</w:t>
      </w:r>
      <w:r>
        <w:rPr>
          <w:rFonts w:ascii="Calibri" w:hAnsi="Calibri"/>
          <w:color w:val="525866"/>
          <w:sz w:val="22"/>
        </w:rPr>
        <w:t>: management guided for further drone, counter-drone, and underwater vehicle order momentum over the next six months — any confirmation of that in Q2 book-to-bill (which was 1.16x overall and 1.38x in Digital Imaging in Q1) would be the most powerful positive catalyst for the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manageable bar for Q2 — non-GAAP EPS of $5.79 is roughly in line with Q1’s record $5.80, while revenue of $1.580B implies only modest sequential growth; </w:t>
      </w:r>
      <w:r>
        <w:rPr>
          <w:rFonts w:ascii="Calibri" w:hAnsi="Calibri"/>
          <w:b/>
          <w:color w:val="525866"/>
          <w:sz w:val="22"/>
        </w:rPr>
        <w:t>Digital Imaging segment revenue and margin</w:t>
      </w:r>
      <w:r>
        <w:rPr>
          <w:rFonts w:ascii="Calibri" w:hAnsi="Calibri"/>
          <w:color w:val="525866"/>
          <w:sz w:val="22"/>
        </w:rPr>
        <w:t xml:space="preserve"> are the bigger swing factor given the segment’s outsized Q1 organic growth and 1.38x book-to-bill.</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Revenue ($M)</w:t>
            </w:r>
          </w:p>
        </w:tc>
        <w:tc>
          <w:tcPr>
            <w:tcW w:type="dxa" w:w="1234"/>
          </w:tcPr>
          <w:p>
            <w:r>
              <w:rPr>
                <w:rFonts w:ascii="Calibri" w:hAnsi="Calibri"/>
                <w:sz w:val="22"/>
              </w:rPr>
              <w:t>$1,560.1</w:t>
            </w:r>
          </w:p>
        </w:tc>
        <w:tc>
          <w:tcPr>
            <w:tcW w:type="dxa" w:w="1234"/>
          </w:tcPr>
          <w:p>
            <w:r>
              <w:rPr>
                <w:rFonts w:ascii="Calibri" w:hAnsi="Calibri"/>
                <w:sz w:val="22"/>
              </w:rPr>
              <w:t>$1,513.7</w:t>
            </w:r>
          </w:p>
        </w:tc>
        <w:tc>
          <w:tcPr>
            <w:tcW w:type="dxa" w:w="1234"/>
          </w:tcPr>
          <w:p>
            <w:r>
              <w:rPr>
                <w:rFonts w:ascii="Calibri" w:hAnsi="Calibri"/>
                <w:sz w:val="22"/>
              </w:rPr>
              <w:t>$1,579.5</w:t>
            </w:r>
          </w:p>
        </w:tc>
        <w:tc>
          <w:tcPr>
            <w:tcW w:type="dxa" w:w="1234"/>
          </w:tcPr>
          <w:p>
            <w:r>
              <w:rPr>
                <w:rFonts w:ascii="Calibri" w:hAnsi="Calibri"/>
                <w:sz w:val="22"/>
              </w:rPr>
              <w:t>+4.3%</w:t>
            </w:r>
          </w:p>
        </w:tc>
        <w:tc>
          <w:tcPr>
            <w:tcW w:type="dxa" w:w="1234"/>
          </w:tcPr>
          <w:p>
            <w:r>
              <w:rPr>
                <w:rFonts w:ascii="Calibri" w:hAnsi="Calibri"/>
                <w:sz w:val="22"/>
              </w:rPr>
              <w:t>No explicit Q2 revenue guidance provided</w:t>
            </w:r>
          </w:p>
        </w:tc>
        <w:tc>
          <w:tcPr>
            <w:tcW w:type="dxa" w:w="1234"/>
          </w:tcPr>
          <w:p>
            <w:r>
              <w:rPr>
                <w:rFonts w:ascii="Calibri" w:hAnsi="Calibri"/>
                <w:sz w:val="22"/>
              </w:rPr>
              <w:t>N/A</w:t>
            </w:r>
          </w:p>
        </w:tc>
      </w:tr>
      <w:tr>
        <w:tc>
          <w:tcPr>
            <w:tcW w:type="dxa" w:w="1234"/>
          </w:tcPr>
          <w:p>
            <w:r>
              <w:rPr>
                <w:rFonts w:ascii="Calibri" w:hAnsi="Calibri"/>
                <w:sz w:val="22"/>
              </w:rPr>
              <w:t>Non-GAAP EPS (Diluted)</w:t>
            </w:r>
          </w:p>
        </w:tc>
        <w:tc>
          <w:tcPr>
            <w:tcW w:type="dxa" w:w="1234"/>
          </w:tcPr>
          <w:p>
            <w:r>
              <w:rPr>
                <w:rFonts w:ascii="Calibri" w:hAnsi="Calibri"/>
                <w:sz w:val="22"/>
              </w:rPr>
              <w:t>$5.80</w:t>
            </w:r>
          </w:p>
        </w:tc>
        <w:tc>
          <w:tcPr>
            <w:tcW w:type="dxa" w:w="1234"/>
          </w:tcPr>
          <w:p>
            <w:r>
              <w:rPr>
                <w:rFonts w:ascii="Calibri" w:hAnsi="Calibri"/>
                <w:sz w:val="22"/>
              </w:rPr>
              <w:t>$5.20</w:t>
            </w:r>
          </w:p>
        </w:tc>
        <w:tc>
          <w:tcPr>
            <w:tcW w:type="dxa" w:w="1234"/>
          </w:tcPr>
          <w:p>
            <w:r>
              <w:rPr>
                <w:rFonts w:ascii="Calibri" w:hAnsi="Calibri"/>
                <w:sz w:val="22"/>
              </w:rPr>
              <w:t>$5.79</w:t>
            </w:r>
          </w:p>
        </w:tc>
        <w:tc>
          <w:tcPr>
            <w:tcW w:type="dxa" w:w="1234"/>
          </w:tcPr>
          <w:p>
            <w:r>
              <w:rPr>
                <w:rFonts w:ascii="Calibri" w:hAnsi="Calibri"/>
                <w:sz w:val="22"/>
              </w:rPr>
              <w:t>+11.3%</w:t>
            </w:r>
          </w:p>
        </w:tc>
        <w:tc>
          <w:tcPr>
            <w:tcW w:type="dxa" w:w="1234"/>
          </w:tcPr>
          <w:p>
            <w:r>
              <w:rPr>
                <w:rFonts w:ascii="Calibri" w:hAnsi="Calibri"/>
                <w:sz w:val="22"/>
              </w:rPr>
              <w:t>$5.70–$5.80 (midpoint $5.75)</w:t>
            </w:r>
          </w:p>
        </w:tc>
        <w:tc>
          <w:tcPr>
            <w:tcW w:type="dxa" w:w="1234"/>
          </w:tcPr>
          <w:p>
            <w:r>
              <w:rPr>
                <w:rFonts w:ascii="Calibri" w:hAnsi="Calibri"/>
                <w:sz w:val="22"/>
              </w:rPr>
              <w:t>+0.7% above midpoint</w:t>
            </w:r>
          </w:p>
        </w:tc>
      </w:tr>
      <w:tr>
        <w:tc>
          <w:tcPr>
            <w:tcW w:type="dxa" w:w="1234"/>
          </w:tcPr>
          <w:p>
            <w:r>
              <w:rPr>
                <w:rFonts w:ascii="Calibri" w:hAnsi="Calibri"/>
                <w:sz w:val="22"/>
              </w:rPr>
              <w:t>Non-GAAP Operating Income ($M)</w:t>
            </w:r>
          </w:p>
        </w:tc>
        <w:tc>
          <w:tcPr>
            <w:tcW w:type="dxa" w:w="1234"/>
          </w:tcPr>
          <w:p>
            <w:r>
              <w:rPr>
                <w:rFonts w:ascii="Calibri" w:hAnsi="Calibri"/>
                <w:sz w:val="22"/>
              </w:rPr>
              <w:t>$352.0</w:t>
            </w:r>
          </w:p>
        </w:tc>
        <w:tc>
          <w:tcPr>
            <w:tcW w:type="dxa" w:w="1234"/>
          </w:tcPr>
          <w:p>
            <w:r>
              <w:rPr>
                <w:rFonts w:ascii="Calibri" w:hAnsi="Calibri"/>
                <w:sz w:val="22"/>
              </w:rPr>
              <w:t>$335.9</w:t>
            </w:r>
          </w:p>
        </w:tc>
        <w:tc>
          <w:tcPr>
            <w:tcW w:type="dxa" w:w="1234"/>
          </w:tcPr>
          <w:p>
            <w:r>
              <w:rPr>
                <w:rFonts w:ascii="Calibri" w:hAnsi="Calibri"/>
                <w:sz w:val="22"/>
              </w:rPr>
              <w:t>$359.2</w:t>
            </w:r>
          </w:p>
        </w:tc>
        <w:tc>
          <w:tcPr>
            <w:tcW w:type="dxa" w:w="1234"/>
          </w:tcPr>
          <w:p>
            <w:r>
              <w:rPr>
                <w:rFonts w:ascii="Calibri" w:hAnsi="Calibri"/>
                <w:sz w:val="22"/>
              </w:rPr>
              <w:t>+7.0%</w:t>
            </w:r>
          </w:p>
        </w:tc>
        <w:tc>
          <w:tcPr>
            <w:tcW w:type="dxa" w:w="1234"/>
          </w:tcPr>
          <w:p>
            <w:r>
              <w:rPr>
                <w:rFonts w:ascii="Calibri" w:hAnsi="Calibri"/>
                <w:sz w:val="22"/>
              </w:rPr>
              <w:t>No explicit Q2 guidance</w:t>
            </w:r>
          </w:p>
        </w:tc>
        <w:tc>
          <w:tcPr>
            <w:tcW w:type="dxa" w:w="1234"/>
          </w:tcPr>
          <w:p>
            <w:r>
              <w:rPr>
                <w:rFonts w:ascii="Calibri" w:hAnsi="Calibri"/>
                <w:sz w:val="22"/>
              </w:rPr>
              <w:t>N/A</w:t>
            </w:r>
          </w:p>
        </w:tc>
      </w:tr>
      <w:tr>
        <w:tc>
          <w:tcPr>
            <w:tcW w:type="dxa" w:w="1234"/>
          </w:tcPr>
          <w:p>
            <w:r>
              <w:rPr>
                <w:rFonts w:ascii="Calibri" w:hAnsi="Calibri"/>
                <w:sz w:val="22"/>
              </w:rPr>
              <w:t>Non-GAAP Operating Margin (%)</w:t>
            </w:r>
          </w:p>
        </w:tc>
        <w:tc>
          <w:tcPr>
            <w:tcW w:type="dxa" w:w="1234"/>
          </w:tcPr>
          <w:p>
            <w:r>
              <w:rPr>
                <w:rFonts w:ascii="Calibri" w:hAnsi="Calibri"/>
                <w:sz w:val="22"/>
              </w:rPr>
              <w:t>22.6%</w:t>
            </w:r>
          </w:p>
        </w:tc>
        <w:tc>
          <w:tcPr>
            <w:tcW w:type="dxa" w:w="1234"/>
          </w:tcPr>
          <w:p>
            <w:r>
              <w:rPr>
                <w:rFonts w:ascii="Calibri" w:hAnsi="Calibri"/>
                <w:sz w:val="22"/>
              </w:rPr>
              <w:t>22.2%</w:t>
            </w:r>
          </w:p>
        </w:tc>
        <w:tc>
          <w:tcPr>
            <w:tcW w:type="dxa" w:w="1234"/>
          </w:tcPr>
          <w:p>
            <w:r>
              <w:rPr>
                <w:rFonts w:ascii="Calibri" w:hAnsi="Calibri"/>
                <w:sz w:val="22"/>
              </w:rPr>
              <w:t>22.7%</w:t>
            </w:r>
          </w:p>
        </w:tc>
        <w:tc>
          <w:tcPr>
            <w:tcW w:type="dxa" w:w="1234"/>
          </w:tcPr>
          <w:p>
            <w:r>
              <w:rPr>
                <w:rFonts w:ascii="Calibri" w:hAnsi="Calibri"/>
                <w:sz w:val="22"/>
              </w:rPr>
              <w:t>+50 bps</w:t>
            </w:r>
          </w:p>
        </w:tc>
        <w:tc>
          <w:tcPr>
            <w:tcW w:type="dxa" w:w="1234"/>
          </w:tcPr>
          <w:p>
            <w:r>
              <w:rPr>
                <w:rFonts w:ascii="Calibri" w:hAnsi="Calibri"/>
                <w:sz w:val="22"/>
              </w:rPr>
              <w:t>No explicit Q2 guidance</w:t>
            </w:r>
          </w:p>
        </w:tc>
        <w:tc>
          <w:tcPr>
            <w:tcW w:type="dxa" w:w="1234"/>
          </w:tcPr>
          <w:p>
            <w:r>
              <w:rPr>
                <w:rFonts w:ascii="Calibri" w:hAnsi="Calibri"/>
                <w:sz w:val="22"/>
              </w:rPr>
              <w:t>N/A</w:t>
            </w:r>
          </w:p>
        </w:tc>
      </w:tr>
      <w:tr>
        <w:tc>
          <w:tcPr>
            <w:tcW w:type="dxa" w:w="1234"/>
          </w:tcPr>
          <w:p>
            <w:r>
              <w:rPr>
                <w:rFonts w:ascii="Calibri" w:hAnsi="Calibri"/>
                <w:sz w:val="22"/>
              </w:rPr>
              <w:t>Digital Imaging Revenue ($M)</w:t>
            </w:r>
          </w:p>
        </w:tc>
        <w:tc>
          <w:tcPr>
            <w:tcW w:type="dxa" w:w="1234"/>
          </w:tcPr>
          <w:p>
            <w:r>
              <w:rPr>
                <w:rFonts w:ascii="Calibri" w:hAnsi="Calibri"/>
                <w:sz w:val="22"/>
              </w:rPr>
              <w:t>$816.9</w:t>
            </w:r>
          </w:p>
        </w:tc>
        <w:tc>
          <w:tcPr>
            <w:tcW w:type="dxa" w:w="1234"/>
          </w:tcPr>
          <w:p>
            <w:r>
              <w:rPr>
                <w:rFonts w:ascii="Calibri" w:hAnsi="Calibri"/>
                <w:sz w:val="22"/>
              </w:rPr>
              <w:t>$771.0</w:t>
            </w:r>
          </w:p>
        </w:tc>
        <w:tc>
          <w:tcPr>
            <w:tcW w:type="dxa" w:w="1234"/>
          </w:tcPr>
          <w:p>
            <w:r>
              <w:rPr>
                <w:rFonts w:ascii="Calibri" w:hAnsi="Calibri"/>
                <w:sz w:val="22"/>
              </w:rPr>
              <w:t>$813.6</w:t>
            </w:r>
          </w:p>
        </w:tc>
        <w:tc>
          <w:tcPr>
            <w:tcW w:type="dxa" w:w="1234"/>
          </w:tcPr>
          <w:p>
            <w:r>
              <w:rPr>
                <w:rFonts w:ascii="Calibri" w:hAnsi="Calibri"/>
                <w:sz w:val="22"/>
              </w:rPr>
              <w:t>+5.5%</w:t>
            </w:r>
          </w:p>
        </w:tc>
        <w:tc>
          <w:tcPr>
            <w:tcW w:type="dxa" w:w="1234"/>
          </w:tcPr>
          <w:p>
            <w:r>
              <w:rPr>
                <w:rFonts w:ascii="Calibri" w:hAnsi="Calibri"/>
                <w:sz w:val="22"/>
              </w:rPr>
              <w:t>No explicit Q2 segment guidance</w:t>
            </w:r>
          </w:p>
        </w:tc>
        <w:tc>
          <w:tcPr>
            <w:tcW w:type="dxa" w:w="1234"/>
          </w:tcPr>
          <w:p>
            <w:r>
              <w:rPr>
                <w:rFonts w:ascii="Calibri" w:hAnsi="Calibri"/>
                <w:sz w:val="22"/>
              </w:rPr>
              <w:t>N/A</w:t>
            </w:r>
          </w:p>
        </w:tc>
      </w:tr>
      <w:tr>
        <w:tc>
          <w:tcPr>
            <w:tcW w:type="dxa" w:w="1234"/>
          </w:tcPr>
          <w:p>
            <w:r>
              <w:rPr>
                <w:rFonts w:ascii="Calibri" w:hAnsi="Calibri"/>
                <w:sz w:val="22"/>
              </w:rPr>
              <w:t>Digital Imaging Non-GAAP Op. Margin (%)</w:t>
            </w:r>
          </w:p>
        </w:tc>
        <w:tc>
          <w:tcPr>
            <w:tcW w:type="dxa" w:w="1234"/>
          </w:tcPr>
          <w:p>
            <w:r>
              <w:rPr>
                <w:rFonts w:ascii="Calibri" w:hAnsi="Calibri"/>
                <w:sz w:val="22"/>
              </w:rPr>
              <w:t>23.2%</w:t>
            </w:r>
          </w:p>
        </w:tc>
        <w:tc>
          <w:tcPr>
            <w:tcW w:type="dxa" w:w="1234"/>
          </w:tcPr>
          <w:p>
            <w:r>
              <w:rPr>
                <w:rFonts w:ascii="Calibri" w:hAnsi="Calibri"/>
                <w:sz w:val="22"/>
              </w:rPr>
              <w:t>21.5%</w:t>
            </w:r>
          </w:p>
        </w:tc>
        <w:tc>
          <w:tcPr>
            <w:tcW w:type="dxa" w:w="1234"/>
          </w:tcPr>
          <w:p>
            <w:r>
              <w:rPr>
                <w:rFonts w:ascii="Calibri" w:hAnsi="Calibri"/>
                <w:sz w:val="22"/>
              </w:rPr>
              <w:t>23.1%</w:t>
            </w:r>
          </w:p>
        </w:tc>
        <w:tc>
          <w:tcPr>
            <w:tcW w:type="dxa" w:w="1234"/>
          </w:tcPr>
          <w:p>
            <w:r>
              <w:rPr>
                <w:rFonts w:ascii="Calibri" w:hAnsi="Calibri"/>
                <w:sz w:val="22"/>
              </w:rPr>
              <w:t>+160 bps</w:t>
            </w:r>
          </w:p>
        </w:tc>
        <w:tc>
          <w:tcPr>
            <w:tcW w:type="dxa" w:w="1234"/>
          </w:tcPr>
          <w:p>
            <w:r>
              <w:rPr>
                <w:rFonts w:ascii="Calibri" w:hAnsi="Calibri"/>
                <w:sz w:val="22"/>
              </w:rPr>
              <w:t>FY 2026: &gt;100 bps expansion vs. 2025</w:t>
            </w:r>
          </w:p>
        </w:tc>
        <w:tc>
          <w:tcPr>
            <w:tcW w:type="dxa" w:w="1234"/>
          </w:tcPr>
          <w:p>
            <w:r>
              <w:rPr>
                <w:rFonts w:ascii="Calibri" w:hAnsi="Calibri"/>
                <w:sz w:val="22"/>
              </w:rPr>
              <w:t>Tracking guidance</w:t>
            </w:r>
          </w:p>
        </w:tc>
      </w:tr>
      <w:tr>
        <w:tc>
          <w:tcPr>
            <w:tcW w:type="dxa" w:w="1234"/>
          </w:tcPr>
          <w:p>
            <w:r>
              <w:rPr>
                <w:rFonts w:ascii="Calibri" w:hAnsi="Calibri"/>
                <w:sz w:val="22"/>
              </w:rPr>
              <w:t>A&amp;D Electronics Revenue ($M)</w:t>
            </w:r>
          </w:p>
        </w:tc>
        <w:tc>
          <w:tcPr>
            <w:tcW w:type="dxa" w:w="1234"/>
          </w:tcPr>
          <w:p>
            <w:r>
              <w:rPr>
                <w:rFonts w:ascii="Calibri" w:hAnsi="Calibri"/>
                <w:sz w:val="22"/>
              </w:rPr>
              <w:t>$277.5</w:t>
            </w:r>
          </w:p>
        </w:tc>
        <w:tc>
          <w:tcPr>
            <w:tcW w:type="dxa" w:w="1234"/>
          </w:tcPr>
          <w:p>
            <w:r>
              <w:rPr>
                <w:rFonts w:ascii="Calibri" w:hAnsi="Calibri"/>
                <w:sz w:val="22"/>
              </w:rPr>
              <w:t>$264.8</w:t>
            </w:r>
          </w:p>
        </w:tc>
        <w:tc>
          <w:tcPr>
            <w:tcW w:type="dxa" w:w="1234"/>
          </w:tcPr>
          <w:p>
            <w:r>
              <w:rPr>
                <w:rFonts w:ascii="Calibri" w:hAnsi="Calibri"/>
                <w:sz w:val="22"/>
              </w:rPr>
              <w:t>$279.3</w:t>
            </w:r>
          </w:p>
        </w:tc>
        <w:tc>
          <w:tcPr>
            <w:tcW w:type="dxa" w:w="1234"/>
          </w:tcPr>
          <w:p>
            <w:r>
              <w:rPr>
                <w:rFonts w:ascii="Calibri" w:hAnsi="Calibri"/>
                <w:sz w:val="22"/>
              </w:rPr>
              <w:t>+5.5%</w:t>
            </w:r>
          </w:p>
        </w:tc>
        <w:tc>
          <w:tcPr>
            <w:tcW w:type="dxa" w:w="1234"/>
          </w:tcPr>
          <w:p>
            <w:r>
              <w:rPr>
                <w:rFonts w:ascii="Calibri" w:hAnsi="Calibri"/>
                <w:sz w:val="22"/>
              </w:rPr>
              <w:t>No explicit Q2 segment guidance</w:t>
            </w:r>
          </w:p>
        </w:tc>
        <w:tc>
          <w:tcPr>
            <w:tcW w:type="dxa" w:w="1234"/>
          </w:tcPr>
          <w:p>
            <w:r>
              <w:rPr>
                <w:rFonts w:ascii="Calibri" w:hAnsi="Calibri"/>
                <w:sz w:val="22"/>
              </w:rPr>
              <w:t>N/A</w:t>
            </w:r>
          </w:p>
        </w:tc>
      </w:tr>
      <w:tr>
        <w:tc>
          <w:tcPr>
            <w:tcW w:type="dxa" w:w="1234"/>
          </w:tcPr>
          <w:p>
            <w:r>
              <w:rPr>
                <w:rFonts w:ascii="Calibri" w:hAnsi="Calibri"/>
                <w:sz w:val="22"/>
              </w:rPr>
              <w:t>Instrumentation Revenue ($M)</w:t>
            </w:r>
          </w:p>
        </w:tc>
        <w:tc>
          <w:tcPr>
            <w:tcW w:type="dxa" w:w="1234"/>
          </w:tcPr>
          <w:p>
            <w:r>
              <w:rPr>
                <w:rFonts w:ascii="Calibri" w:hAnsi="Calibri"/>
                <w:sz w:val="22"/>
              </w:rPr>
              <w:t>$361.4</w:t>
            </w:r>
          </w:p>
        </w:tc>
        <w:tc>
          <w:tcPr>
            <w:tcW w:type="dxa" w:w="1234"/>
          </w:tcPr>
          <w:p>
            <w:r>
              <w:rPr>
                <w:rFonts w:ascii="Calibri" w:hAnsi="Calibri"/>
                <w:sz w:val="22"/>
              </w:rPr>
              <w:t>$367.6</w:t>
            </w:r>
          </w:p>
        </w:tc>
        <w:tc>
          <w:tcPr>
            <w:tcW w:type="dxa" w:w="1234"/>
          </w:tcPr>
          <w:p>
            <w:r>
              <w:rPr>
                <w:rFonts w:ascii="Calibri" w:hAnsi="Calibri"/>
                <w:sz w:val="22"/>
              </w:rPr>
              <w:t>$376.9</w:t>
            </w:r>
          </w:p>
        </w:tc>
        <w:tc>
          <w:tcPr>
            <w:tcW w:type="dxa" w:w="1234"/>
          </w:tcPr>
          <w:p>
            <w:r>
              <w:rPr>
                <w:rFonts w:ascii="Calibri" w:hAnsi="Calibri"/>
                <w:sz w:val="22"/>
              </w:rPr>
              <w:t>+2.5%</w:t>
            </w:r>
          </w:p>
        </w:tc>
        <w:tc>
          <w:tcPr>
            <w:tcW w:type="dxa" w:w="1234"/>
          </w:tcPr>
          <w:p>
            <w:r>
              <w:rPr>
                <w:rFonts w:ascii="Calibri" w:hAnsi="Calibri"/>
                <w:sz w:val="22"/>
              </w:rPr>
              <w:t>No explicit Q2 segment guidance</w:t>
            </w:r>
          </w:p>
        </w:tc>
        <w:tc>
          <w:tcPr>
            <w:tcW w:type="dxa" w:w="1234"/>
          </w:tcPr>
          <w:p>
            <w:r>
              <w:rPr>
                <w:rFonts w:ascii="Calibri" w:hAnsi="Calibri"/>
                <w:sz w:val="22"/>
              </w:rPr>
              <w:t>N/A</w:t>
            </w:r>
          </w:p>
        </w:tc>
      </w:tr>
      <w:tr>
        <w:tc>
          <w:tcPr>
            <w:tcW w:type="dxa" w:w="1234"/>
          </w:tcPr>
          <w:p>
            <w:r>
              <w:rPr>
                <w:rFonts w:ascii="Calibri" w:hAnsi="Calibri"/>
                <w:sz w:val="22"/>
              </w:rPr>
              <w:t>Engineered Systems Revenue ($M)</w:t>
            </w:r>
          </w:p>
        </w:tc>
        <w:tc>
          <w:tcPr>
            <w:tcW w:type="dxa" w:w="1234"/>
          </w:tcPr>
          <w:p>
            <w:r>
              <w:rPr>
                <w:rFonts w:ascii="Calibri" w:hAnsi="Calibri"/>
                <w:sz w:val="22"/>
              </w:rPr>
              <w:t>$104.3</w:t>
            </w:r>
          </w:p>
        </w:tc>
        <w:tc>
          <w:tcPr>
            <w:tcW w:type="dxa" w:w="1234"/>
          </w:tcPr>
          <w:p>
            <w:r>
              <w:rPr>
                <w:rFonts w:ascii="Calibri" w:hAnsi="Calibri"/>
                <w:sz w:val="22"/>
              </w:rPr>
              <w:t>$110.3</w:t>
            </w:r>
          </w:p>
        </w:tc>
        <w:tc>
          <w:tcPr>
            <w:tcW w:type="dxa" w:w="1234"/>
          </w:tcPr>
          <w:p>
            <w:r>
              <w:rPr>
                <w:rFonts w:ascii="Calibri" w:hAnsi="Calibri"/>
                <w:sz w:val="22"/>
              </w:rPr>
              <w:t>$109.8</w:t>
            </w:r>
          </w:p>
        </w:tc>
        <w:tc>
          <w:tcPr>
            <w:tcW w:type="dxa" w:w="1234"/>
          </w:tcPr>
          <w:p>
            <w:r>
              <w:rPr>
                <w:rFonts w:ascii="Calibri" w:hAnsi="Calibri"/>
                <w:sz w:val="22"/>
              </w:rPr>
              <w:t>-0.5%</w:t>
            </w:r>
          </w:p>
        </w:tc>
        <w:tc>
          <w:tcPr>
            <w:tcW w:type="dxa" w:w="1234"/>
          </w:tcPr>
          <w:p>
            <w:r>
              <w:rPr>
                <w:rFonts w:ascii="Calibri" w:hAnsi="Calibri"/>
                <w:sz w:val="22"/>
              </w:rPr>
              <w:t>No explicit Q2 segment guidance</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$204.3</w:t>
            </w:r>
          </w:p>
        </w:tc>
        <w:tc>
          <w:tcPr>
            <w:tcW w:type="dxa" w:w="1234"/>
          </w:tcPr>
          <w:p>
            <w:r>
              <w:rPr>
                <w:rFonts w:ascii="Calibri" w:hAnsi="Calibri"/>
                <w:sz w:val="22"/>
              </w:rPr>
              <w:t>$196.3</w:t>
            </w:r>
          </w:p>
        </w:tc>
        <w:tc>
          <w:tcPr>
            <w:tcW w:type="dxa" w:w="1234"/>
          </w:tcPr>
          <w:p>
            <w:r>
              <w:rPr>
                <w:rFonts w:ascii="Calibri" w:hAnsi="Calibri"/>
                <w:sz w:val="22"/>
              </w:rPr>
              <w:t>$343.6</w:t>
            </w:r>
          </w:p>
        </w:tc>
        <w:tc>
          <w:tcPr>
            <w:tcW w:type="dxa" w:w="1234"/>
          </w:tcPr>
          <w:p>
            <w:r>
              <w:rPr>
                <w:rFonts w:ascii="Calibri" w:hAnsi="Calibri"/>
                <w:sz w:val="22"/>
              </w:rPr>
              <w:t>+75.0%</w:t>
            </w:r>
          </w:p>
        </w:tc>
        <w:tc>
          <w:tcPr>
            <w:tcW w:type="dxa" w:w="1234"/>
          </w:tcPr>
          <w:p>
            <w:r>
              <w:rPr>
                <w:rFonts w:ascii="Calibri" w:hAnsi="Calibri"/>
                <w:sz w:val="22"/>
              </w:rPr>
              <w:t>FY 2026: ~$1.16B</w:t>
            </w:r>
          </w:p>
        </w:tc>
        <w:tc>
          <w:tcPr>
            <w:tcW w:type="dxa" w:w="1234"/>
          </w:tcPr>
          <w:p>
            <w:r>
              <w:rPr>
                <w:rFonts w:ascii="Calibri" w:hAnsi="Calibri"/>
                <w:sz w:val="22"/>
              </w:rPr>
              <w:t>Tracking guidance</w:t>
            </w:r>
          </w:p>
        </w:tc>
      </w:tr>
    </w:tbl>
    <w:p>
      <w:r>
        <w:rPr>
          <w:rFonts w:ascii="Calibri" w:hAnsi="Calibri"/>
          <w:i/>
          <w:color w:val="525866"/>
          <w:sz w:val="22"/>
        </w:rPr>
        <w:t>Source: Visible Alpha Consensus and Actuals Data. Q2 2026 consensus as of July 21, 2026. Q1 2026 actuals from TDY Q1 2026 Earnings Release (April 22, 2026). Non-GAAP EPS Q2 2026 guidance per TDY Q1 2026 Earnings Release ($5.70–$5.80). FCF Q2 2026 consensus reflects VA estimate; Q1 2026 FCF actual from VA actuals.</w:t>
      </w:r>
    </w:p>
    <w:p>
      <w:pPr>
        <w:pStyle w:val="Heading3"/>
      </w:pPr>
      <w:r>
        <w:rPr>
          <w:rFonts w:ascii="Calibri" w:hAnsi="Calibri"/>
          <w:b/>
          <w:color w:val="3B4259"/>
          <w:sz w:val="24"/>
        </w:rPr>
        <w:t>Table 2 — Beat/Miss History: Last 8 Quarters (Top 2 KPIs: Non-GAAP EPS &amp; Revenue)</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Non-GAAP EPS Reported</w:t>
            </w:r>
          </w:p>
        </w:tc>
        <w:tc>
          <w:tcPr>
            <w:tcW w:type="dxa" w:w="960"/>
            <w:shd w:val="clear" w:color="auto" w:fill="3B4259"/>
          </w:tcPr>
          <w:p>
            <w:r>
              <w:rPr>
                <w:rFonts w:ascii="Calibri" w:hAnsi="Calibri"/>
                <w:b/>
                <w:color w:val="FFFFFF"/>
                <w:sz w:val="22"/>
              </w:rPr>
              <w:t>EPS Consensus</w:t>
            </w:r>
          </w:p>
        </w:tc>
        <w:tc>
          <w:tcPr>
            <w:tcW w:type="dxa" w:w="960"/>
            <w:shd w:val="clear" w:color="auto" w:fill="3B4259"/>
          </w:tcPr>
          <w:p>
            <w:r>
              <w:rPr>
                <w:rFonts w:ascii="Calibri" w:hAnsi="Calibri"/>
                <w:b/>
                <w:color w:val="FFFFFF"/>
                <w:sz w:val="22"/>
              </w:rPr>
              <w:t>EPS Surprise %</w:t>
            </w:r>
          </w:p>
        </w:tc>
        <w:tc>
          <w:tcPr>
            <w:tcW w:type="dxa" w:w="960"/>
            <w:shd w:val="clear" w:color="auto" w:fill="3B4259"/>
          </w:tcPr>
          <w:p>
            <w:r>
              <w:rPr>
                <w:rFonts w:ascii="Calibri" w:hAnsi="Calibri"/>
                <w:b/>
                <w:color w:val="FFFFFF"/>
                <w:sz w:val="22"/>
              </w:rPr>
              <w:t>EPS Result</w:t>
            </w:r>
          </w:p>
        </w:tc>
        <w:tc>
          <w:tcPr>
            <w:tcW w:type="dxa" w:w="960"/>
            <w:shd w:val="clear" w:color="auto" w:fill="3B4259"/>
          </w:tcPr>
          <w:p>
            <w:r>
              <w:rPr>
                <w:rFonts w:ascii="Calibri" w:hAnsi="Calibri"/>
                <w:b/>
                <w:color w:val="FFFFFF"/>
                <w:sz w:val="22"/>
              </w:rPr>
              <w:t>Revenue Reported ($M)</w:t>
            </w:r>
          </w:p>
        </w:tc>
        <w:tc>
          <w:tcPr>
            <w:tcW w:type="dxa" w:w="960"/>
            <w:shd w:val="clear" w:color="auto" w:fill="3B4259"/>
          </w:tcPr>
          <w:p>
            <w:r>
              <w:rPr>
                <w:rFonts w:ascii="Calibri" w:hAnsi="Calibri"/>
                <w:b/>
                <w:color w:val="FFFFFF"/>
                <w:sz w:val="22"/>
              </w:rPr>
              <w:t>Revenue Consensus ($M)</w:t>
            </w:r>
          </w:p>
        </w:tc>
        <w:tc>
          <w:tcPr>
            <w:tcW w:type="dxa" w:w="960"/>
            <w:shd w:val="clear" w:color="auto" w:fill="3B4259"/>
          </w:tcPr>
          <w:p>
            <w:r>
              <w:rPr>
                <w:rFonts w:ascii="Calibri" w:hAnsi="Calibri"/>
                <w:b/>
                <w:color w:val="FFFFFF"/>
                <w:sz w:val="22"/>
              </w:rPr>
              <w:t>Revenue Surprise %</w:t>
            </w:r>
          </w:p>
        </w:tc>
        <w:tc>
          <w:tcPr>
            <w:tcW w:type="dxa" w:w="960"/>
            <w:shd w:val="clear" w:color="auto" w:fill="3B4259"/>
          </w:tcPr>
          <w:p>
            <w:r>
              <w:rPr>
                <w:rFonts w:ascii="Calibri" w:hAnsi="Calibri"/>
                <w:b/>
                <w:color w:val="FFFFFF"/>
                <w:sz w:val="22"/>
              </w:rPr>
              <w:t>Revenue Result</w:t>
            </w:r>
          </w:p>
        </w:tc>
      </w:tr>
      <w:tr>
        <w:tc>
          <w:tcPr>
            <w:tcW w:type="dxa" w:w="960"/>
          </w:tcPr>
          <w:p>
            <w:r>
              <w:rPr>
                <w:rFonts w:ascii="Calibri" w:hAnsi="Calibri"/>
                <w:sz w:val="22"/>
              </w:rPr>
              <w:t>Q1 2026</w:t>
            </w:r>
          </w:p>
        </w:tc>
        <w:tc>
          <w:tcPr>
            <w:tcW w:type="dxa" w:w="960"/>
          </w:tcPr>
          <w:p>
            <w:r>
              <w:rPr>
                <w:rFonts w:ascii="Calibri" w:hAnsi="Calibri"/>
                <w:b/>
                <w:color w:val="30A46C"/>
                <w:sz w:val="22"/>
              </w:rPr>
              <w:t>$5.80</w:t>
            </w:r>
          </w:p>
        </w:tc>
        <w:tc>
          <w:tcPr>
            <w:tcW w:type="dxa" w:w="960"/>
          </w:tcPr>
          <w:p>
            <w:r>
              <w:rPr>
                <w:rFonts w:ascii="Calibri" w:hAnsi="Calibri"/>
                <w:sz w:val="22"/>
              </w:rPr>
              <w:t>$5.48</w:t>
            </w:r>
          </w:p>
        </w:tc>
        <w:tc>
          <w:tcPr>
            <w:tcW w:type="dxa" w:w="960"/>
          </w:tcPr>
          <w:p>
            <w:r>
              <w:rPr>
                <w:rFonts w:ascii="Calibri" w:hAnsi="Calibri"/>
                <w:b/>
                <w:color w:val="30A46C"/>
                <w:sz w:val="22"/>
              </w:rPr>
              <w:t>+5.8%</w:t>
            </w:r>
          </w:p>
        </w:tc>
        <w:tc>
          <w:tcPr>
            <w:tcW w:type="dxa" w:w="960"/>
          </w:tcPr>
          <w:p>
            <w:r>
              <w:rPr>
                <w:rFonts w:ascii="Calibri" w:hAnsi="Calibri"/>
                <w:b/>
                <w:color w:val="30A46C"/>
                <w:sz w:val="22"/>
              </w:rPr>
              <w:t>Beat</w:t>
            </w:r>
          </w:p>
        </w:tc>
        <w:tc>
          <w:tcPr>
            <w:tcW w:type="dxa" w:w="960"/>
          </w:tcPr>
          <w:p>
            <w:r>
              <w:rPr>
                <w:rFonts w:ascii="Calibri" w:hAnsi="Calibri"/>
                <w:b/>
                <w:color w:val="30A46C"/>
                <w:sz w:val="22"/>
              </w:rPr>
              <w:t>$1,560.1</w:t>
            </w:r>
          </w:p>
        </w:tc>
        <w:tc>
          <w:tcPr>
            <w:tcW w:type="dxa" w:w="960"/>
          </w:tcPr>
          <w:p>
            <w:r>
              <w:rPr>
                <w:rFonts w:ascii="Calibri" w:hAnsi="Calibri"/>
                <w:sz w:val="22"/>
              </w:rPr>
              <w:t>$1,515.0</w:t>
            </w:r>
          </w:p>
        </w:tc>
        <w:tc>
          <w:tcPr>
            <w:tcW w:type="dxa" w:w="960"/>
          </w:tcPr>
          <w:p>
            <w:r>
              <w:rPr>
                <w:rFonts w:ascii="Calibri" w:hAnsi="Calibri"/>
                <w:b/>
                <w:color w:val="30A46C"/>
                <w:sz w:val="22"/>
              </w:rPr>
              <w:t>+3.0%</w:t>
            </w:r>
          </w:p>
        </w:tc>
        <w:tc>
          <w:tcPr>
            <w:tcW w:type="dxa" w:w="960"/>
          </w:tcPr>
          <w:p>
            <w:r>
              <w:rPr>
                <w:rFonts w:ascii="Calibri" w:hAnsi="Calibri"/>
                <w:b/>
                <w:color w:val="30A46C"/>
                <w:sz w:val="22"/>
              </w:rPr>
              <w:t>Beat</w:t>
            </w:r>
          </w:p>
        </w:tc>
      </w:tr>
      <w:tr>
        <w:tc>
          <w:tcPr>
            <w:tcW w:type="dxa" w:w="960"/>
          </w:tcPr>
          <w:p>
            <w:r>
              <w:rPr>
                <w:rFonts w:ascii="Calibri" w:hAnsi="Calibri"/>
                <w:sz w:val="22"/>
              </w:rPr>
              <w:t>Q4 2025</w:t>
            </w:r>
          </w:p>
        </w:tc>
        <w:tc>
          <w:tcPr>
            <w:tcW w:type="dxa" w:w="960"/>
          </w:tcPr>
          <w:p>
            <w:r>
              <w:rPr>
                <w:rFonts w:ascii="Calibri" w:hAnsi="Calibri"/>
                <w:b/>
                <w:color w:val="30A46C"/>
                <w:sz w:val="22"/>
              </w:rPr>
              <w:t>$6.30</w:t>
            </w:r>
          </w:p>
        </w:tc>
        <w:tc>
          <w:tcPr>
            <w:tcW w:type="dxa" w:w="960"/>
          </w:tcPr>
          <w:p>
            <w:r>
              <w:rPr>
                <w:rFonts w:ascii="Calibri" w:hAnsi="Calibri"/>
                <w:sz w:val="22"/>
              </w:rPr>
              <w:t>$5.84</w:t>
            </w:r>
          </w:p>
        </w:tc>
        <w:tc>
          <w:tcPr>
            <w:tcW w:type="dxa" w:w="960"/>
          </w:tcPr>
          <w:p>
            <w:r>
              <w:rPr>
                <w:rFonts w:ascii="Calibri" w:hAnsi="Calibri"/>
                <w:b/>
                <w:color w:val="30A46C"/>
                <w:sz w:val="22"/>
              </w:rPr>
              <w:t>+7.9%</w:t>
            </w:r>
          </w:p>
        </w:tc>
        <w:tc>
          <w:tcPr>
            <w:tcW w:type="dxa" w:w="960"/>
          </w:tcPr>
          <w:p>
            <w:r>
              <w:rPr>
                <w:rFonts w:ascii="Calibri" w:hAnsi="Calibri"/>
                <w:b/>
                <w:color w:val="30A46C"/>
                <w:sz w:val="22"/>
              </w:rPr>
              <w:t>Beat</w:t>
            </w:r>
          </w:p>
        </w:tc>
        <w:tc>
          <w:tcPr>
            <w:tcW w:type="dxa" w:w="960"/>
          </w:tcPr>
          <w:p>
            <w:r>
              <w:rPr>
                <w:rFonts w:ascii="Calibri" w:hAnsi="Calibri"/>
                <w:b/>
                <w:color w:val="30A46C"/>
                <w:sz w:val="22"/>
              </w:rPr>
              <w:t>$1,612.3</w:t>
            </w:r>
          </w:p>
        </w:tc>
        <w:tc>
          <w:tcPr>
            <w:tcW w:type="dxa" w:w="960"/>
          </w:tcPr>
          <w:p>
            <w:r>
              <w:rPr>
                <w:rFonts w:ascii="Calibri" w:hAnsi="Calibri"/>
                <w:sz w:val="22"/>
              </w:rPr>
              <w:t>$1,571.4</w:t>
            </w:r>
          </w:p>
        </w:tc>
        <w:tc>
          <w:tcPr>
            <w:tcW w:type="dxa" w:w="960"/>
          </w:tcPr>
          <w:p>
            <w:r>
              <w:rPr>
                <w:rFonts w:ascii="Calibri" w:hAnsi="Calibri"/>
                <w:b/>
                <w:color w:val="30A46C"/>
                <w:sz w:val="22"/>
              </w:rPr>
              <w:t>+2.6%</w:t>
            </w:r>
          </w:p>
        </w:tc>
        <w:tc>
          <w:tcPr>
            <w:tcW w:type="dxa" w:w="960"/>
          </w:tcPr>
          <w:p>
            <w:r>
              <w:rPr>
                <w:rFonts w:ascii="Calibri" w:hAnsi="Calibri"/>
                <w:b/>
                <w:color w:val="30A46C"/>
                <w:sz w:val="22"/>
              </w:rPr>
              <w:t>Beat</w:t>
            </w:r>
          </w:p>
        </w:tc>
      </w:tr>
      <w:tr>
        <w:tc>
          <w:tcPr>
            <w:tcW w:type="dxa" w:w="960"/>
          </w:tcPr>
          <w:p>
            <w:r>
              <w:rPr>
                <w:rFonts w:ascii="Calibri" w:hAnsi="Calibri"/>
                <w:sz w:val="22"/>
              </w:rPr>
              <w:t>Q3 2025</w:t>
            </w:r>
          </w:p>
        </w:tc>
        <w:tc>
          <w:tcPr>
            <w:tcW w:type="dxa" w:w="960"/>
          </w:tcPr>
          <w:p>
            <w:r>
              <w:rPr>
                <w:rFonts w:ascii="Calibri" w:hAnsi="Calibri"/>
                <w:b/>
                <w:color w:val="30A46C"/>
                <w:sz w:val="22"/>
              </w:rPr>
              <w:t>$5.57</w:t>
            </w:r>
          </w:p>
        </w:tc>
        <w:tc>
          <w:tcPr>
            <w:tcW w:type="dxa" w:w="960"/>
          </w:tcPr>
          <w:p>
            <w:r>
              <w:rPr>
                <w:rFonts w:ascii="Calibri" w:hAnsi="Calibri"/>
                <w:sz w:val="22"/>
              </w:rPr>
              <w:t>$5.47</w:t>
            </w:r>
          </w:p>
        </w:tc>
        <w:tc>
          <w:tcPr>
            <w:tcW w:type="dxa" w:w="960"/>
          </w:tcPr>
          <w:p>
            <w:r>
              <w:rPr>
                <w:rFonts w:ascii="Calibri" w:hAnsi="Calibri"/>
                <w:b/>
                <w:color w:val="30A46C"/>
                <w:sz w:val="22"/>
              </w:rPr>
              <w:t>+1.8%</w:t>
            </w:r>
          </w:p>
        </w:tc>
        <w:tc>
          <w:tcPr>
            <w:tcW w:type="dxa" w:w="960"/>
          </w:tcPr>
          <w:p>
            <w:r>
              <w:rPr>
                <w:rFonts w:ascii="Calibri" w:hAnsi="Calibri"/>
                <w:b/>
                <w:color w:val="30A46C"/>
                <w:sz w:val="22"/>
              </w:rPr>
              <w:t>Beat</w:t>
            </w:r>
          </w:p>
        </w:tc>
        <w:tc>
          <w:tcPr>
            <w:tcW w:type="dxa" w:w="960"/>
          </w:tcPr>
          <w:p>
            <w:r>
              <w:rPr>
                <w:rFonts w:ascii="Calibri" w:hAnsi="Calibri"/>
                <w:b/>
                <w:color w:val="30A46C"/>
                <w:sz w:val="22"/>
              </w:rPr>
              <w:t>$1,539.5</w:t>
            </w:r>
          </w:p>
        </w:tc>
        <w:tc>
          <w:tcPr>
            <w:tcW w:type="dxa" w:w="960"/>
          </w:tcPr>
          <w:p>
            <w:r>
              <w:rPr>
                <w:rFonts w:ascii="Calibri" w:hAnsi="Calibri"/>
                <w:sz w:val="22"/>
              </w:rPr>
              <w:t>$1,527.6</w:t>
            </w:r>
          </w:p>
        </w:tc>
        <w:tc>
          <w:tcPr>
            <w:tcW w:type="dxa" w:w="960"/>
          </w:tcPr>
          <w:p>
            <w:r>
              <w:rPr>
                <w:rFonts w:ascii="Calibri" w:hAnsi="Calibri"/>
                <w:b/>
                <w:color w:val="30A46C"/>
                <w:sz w:val="22"/>
              </w:rPr>
              <w:t>+0.8%</w:t>
            </w:r>
          </w:p>
        </w:tc>
        <w:tc>
          <w:tcPr>
            <w:tcW w:type="dxa" w:w="960"/>
          </w:tcPr>
          <w:p>
            <w:r>
              <w:rPr>
                <w:rFonts w:ascii="Calibri" w:hAnsi="Calibri"/>
                <w:b/>
                <w:color w:val="30A46C"/>
                <w:sz w:val="22"/>
              </w:rPr>
              <w:t>Beat</w:t>
            </w:r>
          </w:p>
        </w:tc>
      </w:tr>
      <w:tr>
        <w:tc>
          <w:tcPr>
            <w:tcW w:type="dxa" w:w="960"/>
          </w:tcPr>
          <w:p>
            <w:r>
              <w:rPr>
                <w:rFonts w:ascii="Calibri" w:hAnsi="Calibri"/>
                <w:sz w:val="22"/>
              </w:rPr>
              <w:t>Q2 2025</w:t>
            </w:r>
          </w:p>
        </w:tc>
        <w:tc>
          <w:tcPr>
            <w:tcW w:type="dxa" w:w="960"/>
          </w:tcPr>
          <w:p>
            <w:r>
              <w:rPr>
                <w:rFonts w:ascii="Calibri" w:hAnsi="Calibri"/>
                <w:b/>
                <w:color w:val="30A46C"/>
                <w:sz w:val="22"/>
              </w:rPr>
              <w:t>$5.20</w:t>
            </w:r>
          </w:p>
        </w:tc>
        <w:tc>
          <w:tcPr>
            <w:tcW w:type="dxa" w:w="960"/>
          </w:tcPr>
          <w:p>
            <w:r>
              <w:rPr>
                <w:rFonts w:ascii="Calibri" w:hAnsi="Calibri"/>
                <w:sz w:val="22"/>
              </w:rPr>
              <w:t>$5.05</w:t>
            </w:r>
          </w:p>
        </w:tc>
        <w:tc>
          <w:tcPr>
            <w:tcW w:type="dxa" w:w="960"/>
          </w:tcPr>
          <w:p>
            <w:r>
              <w:rPr>
                <w:rFonts w:ascii="Calibri" w:hAnsi="Calibri"/>
                <w:b/>
                <w:color w:val="30A46C"/>
                <w:sz w:val="22"/>
              </w:rPr>
              <w:t>+3.0%</w:t>
            </w:r>
          </w:p>
        </w:tc>
        <w:tc>
          <w:tcPr>
            <w:tcW w:type="dxa" w:w="960"/>
          </w:tcPr>
          <w:p>
            <w:r>
              <w:rPr>
                <w:rFonts w:ascii="Calibri" w:hAnsi="Calibri"/>
                <w:b/>
                <w:color w:val="30A46C"/>
                <w:sz w:val="22"/>
              </w:rPr>
              <w:t>Beat</w:t>
            </w:r>
          </w:p>
        </w:tc>
        <w:tc>
          <w:tcPr>
            <w:tcW w:type="dxa" w:w="960"/>
          </w:tcPr>
          <w:p>
            <w:r>
              <w:rPr>
                <w:rFonts w:ascii="Calibri" w:hAnsi="Calibri"/>
                <w:b/>
                <w:color w:val="30A46C"/>
                <w:sz w:val="22"/>
              </w:rPr>
              <w:t>$1,513.7</w:t>
            </w:r>
          </w:p>
        </w:tc>
        <w:tc>
          <w:tcPr>
            <w:tcW w:type="dxa" w:w="960"/>
          </w:tcPr>
          <w:p>
            <w:r>
              <w:rPr>
                <w:rFonts w:ascii="Calibri" w:hAnsi="Calibri"/>
                <w:sz w:val="22"/>
              </w:rPr>
              <w:t>$1,475.1</w:t>
            </w:r>
          </w:p>
        </w:tc>
        <w:tc>
          <w:tcPr>
            <w:tcW w:type="dxa" w:w="960"/>
          </w:tcPr>
          <w:p>
            <w:r>
              <w:rPr>
                <w:rFonts w:ascii="Calibri" w:hAnsi="Calibri"/>
                <w:b/>
                <w:color w:val="30A46C"/>
                <w:sz w:val="22"/>
              </w:rPr>
              <w:t>+2.6%</w:t>
            </w:r>
          </w:p>
        </w:tc>
        <w:tc>
          <w:tcPr>
            <w:tcW w:type="dxa" w:w="960"/>
          </w:tcPr>
          <w:p>
            <w:r>
              <w:rPr>
                <w:rFonts w:ascii="Calibri" w:hAnsi="Calibri"/>
                <w:b/>
                <w:color w:val="30A46C"/>
                <w:sz w:val="22"/>
              </w:rPr>
              <w:t>Beat</w:t>
            </w:r>
          </w:p>
        </w:tc>
      </w:tr>
      <w:tr>
        <w:tc>
          <w:tcPr>
            <w:tcW w:type="dxa" w:w="960"/>
          </w:tcPr>
          <w:p>
            <w:r>
              <w:rPr>
                <w:rFonts w:ascii="Calibri" w:hAnsi="Calibri"/>
                <w:sz w:val="22"/>
              </w:rPr>
              <w:t>Q1 2025</w:t>
            </w:r>
          </w:p>
        </w:tc>
        <w:tc>
          <w:tcPr>
            <w:tcW w:type="dxa" w:w="960"/>
          </w:tcPr>
          <w:p>
            <w:r>
              <w:rPr>
                <w:rFonts w:ascii="Calibri" w:hAnsi="Calibri"/>
                <w:b/>
                <w:color w:val="30A46C"/>
                <w:sz w:val="22"/>
              </w:rPr>
              <w:t>$4.95</w:t>
            </w:r>
          </w:p>
        </w:tc>
        <w:tc>
          <w:tcPr>
            <w:tcW w:type="dxa" w:w="960"/>
          </w:tcPr>
          <w:p>
            <w:r>
              <w:rPr>
                <w:rFonts w:ascii="Calibri" w:hAnsi="Calibri"/>
                <w:sz w:val="22"/>
              </w:rPr>
              <w:t>$4.93</w:t>
            </w:r>
          </w:p>
        </w:tc>
        <w:tc>
          <w:tcPr>
            <w:tcW w:type="dxa" w:w="960"/>
          </w:tcPr>
          <w:p>
            <w:r>
              <w:rPr>
                <w:rFonts w:ascii="Calibri" w:hAnsi="Calibri"/>
                <w:b/>
                <w:color w:val="30A46C"/>
                <w:sz w:val="22"/>
              </w:rPr>
              <w:t>+0.4%</w:t>
            </w:r>
          </w:p>
        </w:tc>
        <w:tc>
          <w:tcPr>
            <w:tcW w:type="dxa" w:w="960"/>
          </w:tcPr>
          <w:p>
            <w:r>
              <w:rPr>
                <w:rFonts w:ascii="Calibri" w:hAnsi="Calibri"/>
                <w:b/>
                <w:color w:val="30A46C"/>
                <w:sz w:val="22"/>
              </w:rPr>
              <w:t>Beat</w:t>
            </w:r>
          </w:p>
        </w:tc>
        <w:tc>
          <w:tcPr>
            <w:tcW w:type="dxa" w:w="960"/>
          </w:tcPr>
          <w:p>
            <w:r>
              <w:rPr>
                <w:rFonts w:ascii="Calibri" w:hAnsi="Calibri"/>
                <w:b/>
                <w:color w:val="30A46C"/>
                <w:sz w:val="22"/>
              </w:rPr>
              <w:t>$1,449.9</w:t>
            </w:r>
          </w:p>
        </w:tc>
        <w:tc>
          <w:tcPr>
            <w:tcW w:type="dxa" w:w="960"/>
          </w:tcPr>
          <w:p>
            <w:r>
              <w:rPr>
                <w:rFonts w:ascii="Calibri" w:hAnsi="Calibri"/>
                <w:sz w:val="22"/>
              </w:rPr>
              <w:t>$1,428.8</w:t>
            </w:r>
          </w:p>
        </w:tc>
        <w:tc>
          <w:tcPr>
            <w:tcW w:type="dxa" w:w="960"/>
          </w:tcPr>
          <w:p>
            <w:r>
              <w:rPr>
                <w:rFonts w:ascii="Calibri" w:hAnsi="Calibri"/>
                <w:b/>
                <w:color w:val="30A46C"/>
                <w:sz w:val="22"/>
              </w:rPr>
              <w:t>+1.5%</w:t>
            </w:r>
          </w:p>
        </w:tc>
        <w:tc>
          <w:tcPr>
            <w:tcW w:type="dxa" w:w="960"/>
          </w:tcPr>
          <w:p>
            <w:r>
              <w:rPr>
                <w:rFonts w:ascii="Calibri" w:hAnsi="Calibri"/>
                <w:b/>
                <w:color w:val="30A46C"/>
                <w:sz w:val="22"/>
              </w:rPr>
              <w:t>Beat</w:t>
            </w:r>
          </w:p>
        </w:tc>
      </w:tr>
      <w:tr>
        <w:tc>
          <w:tcPr>
            <w:tcW w:type="dxa" w:w="960"/>
          </w:tcPr>
          <w:p>
            <w:r>
              <w:rPr>
                <w:rFonts w:ascii="Calibri" w:hAnsi="Calibri"/>
                <w:sz w:val="22"/>
              </w:rPr>
              <w:t>Q4 2024</w:t>
            </w:r>
          </w:p>
        </w:tc>
        <w:tc>
          <w:tcPr>
            <w:tcW w:type="dxa" w:w="960"/>
          </w:tcPr>
          <w:p>
            <w:r>
              <w:rPr>
                <w:rFonts w:ascii="Calibri" w:hAnsi="Calibri"/>
                <w:b/>
                <w:color w:val="30A46C"/>
                <w:sz w:val="22"/>
              </w:rPr>
              <w:t>$5.52</w:t>
            </w:r>
          </w:p>
        </w:tc>
        <w:tc>
          <w:tcPr>
            <w:tcW w:type="dxa" w:w="960"/>
          </w:tcPr>
          <w:p>
            <w:r>
              <w:rPr>
                <w:rFonts w:ascii="Calibri" w:hAnsi="Calibri"/>
                <w:sz w:val="22"/>
              </w:rPr>
              <w:t>$5.22</w:t>
            </w:r>
          </w:p>
        </w:tc>
        <w:tc>
          <w:tcPr>
            <w:tcW w:type="dxa" w:w="960"/>
          </w:tcPr>
          <w:p>
            <w:r>
              <w:rPr>
                <w:rFonts w:ascii="Calibri" w:hAnsi="Calibri"/>
                <w:b/>
                <w:color w:val="30A46C"/>
                <w:sz w:val="22"/>
              </w:rPr>
              <w:t>+5.7%</w:t>
            </w:r>
          </w:p>
        </w:tc>
        <w:tc>
          <w:tcPr>
            <w:tcW w:type="dxa" w:w="960"/>
          </w:tcPr>
          <w:p>
            <w:r>
              <w:rPr>
                <w:rFonts w:ascii="Calibri" w:hAnsi="Calibri"/>
                <w:b/>
                <w:color w:val="30A46C"/>
                <w:sz w:val="22"/>
              </w:rPr>
              <w:t>Beat</w:t>
            </w:r>
          </w:p>
        </w:tc>
        <w:tc>
          <w:tcPr>
            <w:tcW w:type="dxa" w:w="960"/>
          </w:tcPr>
          <w:p>
            <w:r>
              <w:rPr>
                <w:rFonts w:ascii="Calibri" w:hAnsi="Calibri"/>
                <w:b/>
                <w:color w:val="30A46C"/>
                <w:sz w:val="22"/>
              </w:rPr>
              <w:t>$1,502.3</w:t>
            </w:r>
          </w:p>
        </w:tc>
        <w:tc>
          <w:tcPr>
            <w:tcW w:type="dxa" w:w="960"/>
          </w:tcPr>
          <w:p>
            <w:r>
              <w:rPr>
                <w:rFonts w:ascii="Calibri" w:hAnsi="Calibri"/>
                <w:sz w:val="22"/>
              </w:rPr>
              <w:t>$1,450.1</w:t>
            </w:r>
          </w:p>
        </w:tc>
        <w:tc>
          <w:tcPr>
            <w:tcW w:type="dxa" w:w="960"/>
          </w:tcPr>
          <w:p>
            <w:r>
              <w:rPr>
                <w:rFonts w:ascii="Calibri" w:hAnsi="Calibri"/>
                <w:b/>
                <w:color w:val="30A46C"/>
                <w:sz w:val="22"/>
              </w:rPr>
              <w:t>+3.6%</w:t>
            </w:r>
          </w:p>
        </w:tc>
        <w:tc>
          <w:tcPr>
            <w:tcW w:type="dxa" w:w="960"/>
          </w:tcPr>
          <w:p>
            <w:r>
              <w:rPr>
                <w:rFonts w:ascii="Calibri" w:hAnsi="Calibri"/>
                <w:b/>
                <w:color w:val="30A46C"/>
                <w:sz w:val="22"/>
              </w:rPr>
              <w:t>Beat</w:t>
            </w:r>
          </w:p>
        </w:tc>
      </w:tr>
      <w:tr>
        <w:tc>
          <w:tcPr>
            <w:tcW w:type="dxa" w:w="960"/>
          </w:tcPr>
          <w:p>
            <w:r>
              <w:rPr>
                <w:rFonts w:ascii="Calibri" w:hAnsi="Calibri"/>
                <w:sz w:val="22"/>
              </w:rPr>
              <w:t>Q3 2024</w:t>
            </w:r>
          </w:p>
        </w:tc>
        <w:tc>
          <w:tcPr>
            <w:tcW w:type="dxa" w:w="960"/>
          </w:tcPr>
          <w:p>
            <w:r>
              <w:rPr>
                <w:rFonts w:ascii="Calibri" w:hAnsi="Calibri"/>
                <w:b/>
                <w:color w:val="30A46C"/>
                <w:sz w:val="22"/>
              </w:rPr>
              <w:t>$5.10</w:t>
            </w:r>
          </w:p>
        </w:tc>
        <w:tc>
          <w:tcPr>
            <w:tcW w:type="dxa" w:w="960"/>
          </w:tcPr>
          <w:p>
            <w:r>
              <w:rPr>
                <w:rFonts w:ascii="Calibri" w:hAnsi="Calibri"/>
                <w:sz w:val="22"/>
              </w:rPr>
              <w:t>$4.97</w:t>
            </w:r>
          </w:p>
        </w:tc>
        <w:tc>
          <w:tcPr>
            <w:tcW w:type="dxa" w:w="960"/>
          </w:tcPr>
          <w:p>
            <w:r>
              <w:rPr>
                <w:rFonts w:ascii="Calibri" w:hAnsi="Calibri"/>
                <w:b/>
                <w:color w:val="30A46C"/>
                <w:sz w:val="22"/>
              </w:rPr>
              <w:t>+2.6%</w:t>
            </w:r>
          </w:p>
        </w:tc>
        <w:tc>
          <w:tcPr>
            <w:tcW w:type="dxa" w:w="960"/>
          </w:tcPr>
          <w:p>
            <w:r>
              <w:rPr>
                <w:rFonts w:ascii="Calibri" w:hAnsi="Calibri"/>
                <w:b/>
                <w:color w:val="30A46C"/>
                <w:sz w:val="22"/>
              </w:rPr>
              <w:t>Beat</w:t>
            </w:r>
          </w:p>
        </w:tc>
        <w:tc>
          <w:tcPr>
            <w:tcW w:type="dxa" w:w="960"/>
          </w:tcPr>
          <w:p>
            <w:r>
              <w:rPr>
                <w:rFonts w:ascii="Calibri" w:hAnsi="Calibri"/>
                <w:b/>
                <w:color w:val="30A46C"/>
                <w:sz w:val="22"/>
              </w:rPr>
              <w:t>$1,443.5</w:t>
            </w:r>
          </w:p>
        </w:tc>
        <w:tc>
          <w:tcPr>
            <w:tcW w:type="dxa" w:w="960"/>
          </w:tcPr>
          <w:p>
            <w:r>
              <w:rPr>
                <w:rFonts w:ascii="Calibri" w:hAnsi="Calibri"/>
                <w:sz w:val="22"/>
              </w:rPr>
              <w:t>$1,417.8</w:t>
            </w:r>
          </w:p>
        </w:tc>
        <w:tc>
          <w:tcPr>
            <w:tcW w:type="dxa" w:w="960"/>
          </w:tcPr>
          <w:p>
            <w:r>
              <w:rPr>
                <w:rFonts w:ascii="Calibri" w:hAnsi="Calibri"/>
                <w:b/>
                <w:color w:val="30A46C"/>
                <w:sz w:val="22"/>
              </w:rPr>
              <w:t>+1.8%</w:t>
            </w:r>
          </w:p>
        </w:tc>
        <w:tc>
          <w:tcPr>
            <w:tcW w:type="dxa" w:w="960"/>
          </w:tcPr>
          <w:p>
            <w:r>
              <w:rPr>
                <w:rFonts w:ascii="Calibri" w:hAnsi="Calibri"/>
                <w:b/>
                <w:color w:val="30A46C"/>
                <w:sz w:val="22"/>
              </w:rPr>
              <w:t>Beat</w:t>
            </w:r>
          </w:p>
        </w:tc>
      </w:tr>
      <w:tr>
        <w:tc>
          <w:tcPr>
            <w:tcW w:type="dxa" w:w="960"/>
          </w:tcPr>
          <w:p>
            <w:r>
              <w:rPr>
                <w:rFonts w:ascii="Calibri" w:hAnsi="Calibri"/>
                <w:sz w:val="22"/>
              </w:rPr>
              <w:t>Q2 2024</w:t>
            </w:r>
          </w:p>
        </w:tc>
        <w:tc>
          <w:tcPr>
            <w:tcW w:type="dxa" w:w="960"/>
          </w:tcPr>
          <w:p>
            <w:r>
              <w:rPr>
                <w:rFonts w:ascii="Calibri" w:hAnsi="Calibri"/>
                <w:b/>
                <w:color w:val="30A46C"/>
                <w:sz w:val="22"/>
              </w:rPr>
              <w:t>$4.58</w:t>
            </w:r>
          </w:p>
        </w:tc>
        <w:tc>
          <w:tcPr>
            <w:tcW w:type="dxa" w:w="960"/>
          </w:tcPr>
          <w:p>
            <w:r>
              <w:rPr>
                <w:rFonts w:ascii="Calibri" w:hAnsi="Calibri"/>
                <w:sz w:val="22"/>
              </w:rPr>
              <w:t>$4.50</w:t>
            </w:r>
          </w:p>
        </w:tc>
        <w:tc>
          <w:tcPr>
            <w:tcW w:type="dxa" w:w="960"/>
          </w:tcPr>
          <w:p>
            <w:r>
              <w:rPr>
                <w:rFonts w:ascii="Calibri" w:hAnsi="Calibri"/>
                <w:b/>
                <w:color w:val="30A46C"/>
                <w:sz w:val="22"/>
              </w:rPr>
              <w:t>+1.8%</w:t>
            </w:r>
          </w:p>
        </w:tc>
        <w:tc>
          <w:tcPr>
            <w:tcW w:type="dxa" w:w="960"/>
          </w:tcPr>
          <w:p>
            <w:r>
              <w:rPr>
                <w:rFonts w:ascii="Calibri" w:hAnsi="Calibri"/>
                <w:b/>
                <w:color w:val="30A46C"/>
                <w:sz w:val="22"/>
              </w:rPr>
              <w:t>Beat</w:t>
            </w:r>
          </w:p>
        </w:tc>
        <w:tc>
          <w:tcPr>
            <w:tcW w:type="dxa" w:w="960"/>
          </w:tcPr>
          <w:p>
            <w:r>
              <w:rPr>
                <w:rFonts w:ascii="Calibri" w:hAnsi="Calibri"/>
                <w:b/>
                <w:color w:val="30A46C"/>
                <w:sz w:val="22"/>
              </w:rPr>
              <w:t>$1,374.1</w:t>
            </w:r>
          </w:p>
        </w:tc>
        <w:tc>
          <w:tcPr>
            <w:tcW w:type="dxa" w:w="960"/>
          </w:tcPr>
          <w:p>
            <w:r>
              <w:rPr>
                <w:rFonts w:ascii="Calibri" w:hAnsi="Calibri"/>
                <w:sz w:val="22"/>
              </w:rPr>
              <w:t>$1,361.9</w:t>
            </w:r>
          </w:p>
        </w:tc>
        <w:tc>
          <w:tcPr>
            <w:tcW w:type="dxa" w:w="960"/>
          </w:tcPr>
          <w:p>
            <w:r>
              <w:rPr>
                <w:rFonts w:ascii="Calibri" w:hAnsi="Calibri"/>
                <w:b/>
                <w:color w:val="30A46C"/>
                <w:sz w:val="22"/>
              </w:rPr>
              <w:t>+0.9%</w:t>
            </w:r>
          </w:p>
        </w:tc>
        <w:tc>
          <w:tcPr>
            <w:tcW w:type="dxa" w:w="960"/>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i/>
          <w:color w:val="525866"/>
          <w:sz w:val="22"/>
        </w:rPr>
        <w:t>TDY has beaten both non-GAAP EPS and revenue consensus in each of the last 8 consecutive quarters, with EPS beats averaging ~3.6% and revenue beats averaging ~2.1% — a remarkably consistent track record that sets a high bar for the market’s implicit expectations even when headline consensus appears modest.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full-year 2026 non-GAAP EPS guidance at Q1 earnings (to $23.85–$24.15 from $23.45–$23.85) and provided Q2 non-GAAP EPS guidance of $5.70–$5.80; </w:t>
      </w:r>
      <w:r>
        <w:rPr>
          <w:rFonts w:ascii="Calibri" w:hAnsi="Calibri"/>
          <w:b/>
          <w:color w:val="525866"/>
          <w:sz w:val="22"/>
        </w:rPr>
        <w:t>tone has shifted materially more confident</w:t>
      </w:r>
      <w:r>
        <w:rPr>
          <w:rFonts w:ascii="Calibri" w:hAnsi="Calibri"/>
          <w:color w:val="525866"/>
          <w:sz w:val="22"/>
        </w:rPr>
        <w:t xml:space="preserve"> since last earnings, with explicit defense demand catalysts cited (Iran conflict, European buildout) and unusual organic investment posture signaling management conviction in the demand outlook.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Non-GAAP EPS</w:t>
            </w:r>
          </w:p>
        </w:tc>
        <w:tc>
          <w:tcPr>
            <w:tcW w:type="dxa" w:w="1728"/>
          </w:tcPr>
          <w:p>
            <w:r>
              <w:rPr>
                <w:rFonts w:ascii="Calibri" w:hAnsi="Calibri"/>
                <w:sz w:val="22"/>
              </w:rPr>
              <w:t>$5.70–$5.80</w:t>
            </w:r>
          </w:p>
        </w:tc>
        <w:tc>
          <w:tcPr>
            <w:tcW w:type="dxa" w:w="1728"/>
          </w:tcPr>
          <w:p>
            <w:r>
              <w:rPr>
                <w:rFonts w:ascii="Calibri" w:hAnsi="Calibri"/>
                <w:sz w:val="22"/>
              </w:rPr>
              <w:t>—</w:t>
            </w:r>
          </w:p>
        </w:tc>
        <w:tc>
          <w:tcPr>
            <w:tcW w:type="dxa" w:w="1728"/>
          </w:tcPr>
          <w:p>
            <w:r>
              <w:rPr>
                <w:rFonts w:ascii="Calibri" w:hAnsi="Calibri"/>
                <w:sz w:val="22"/>
              </w:rPr>
              <w:t>$5.79</w:t>
            </w:r>
          </w:p>
        </w:tc>
        <w:tc>
          <w:tcPr>
            <w:tcW w:type="dxa" w:w="1728"/>
          </w:tcPr>
          <w:p>
            <w:r>
              <w:rPr>
                <w:rFonts w:ascii="Calibri" w:hAnsi="Calibri"/>
                <w:sz w:val="22"/>
              </w:rPr>
              <w:t>Consensus sits at top of guidance range; no post-earnings revision to Q2 guidance</w:t>
            </w:r>
          </w:p>
        </w:tc>
      </w:tr>
      <w:tr>
        <w:tc>
          <w:tcPr>
            <w:tcW w:type="dxa" w:w="1728"/>
          </w:tcPr>
          <w:p>
            <w:r>
              <w:rPr>
                <w:rFonts w:ascii="Calibri" w:hAnsi="Calibri"/>
                <w:sz w:val="22"/>
              </w:rPr>
              <w:t>Q2 2026 GAAP EPS</w:t>
            </w:r>
          </w:p>
        </w:tc>
        <w:tc>
          <w:tcPr>
            <w:tcW w:type="dxa" w:w="1728"/>
          </w:tcPr>
          <w:p>
            <w:r>
              <w:rPr>
                <w:rFonts w:ascii="Calibri" w:hAnsi="Calibri"/>
                <w:sz w:val="22"/>
              </w:rPr>
              <w:t>$4.75–$4.90</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No post-earnings update</w:t>
            </w:r>
          </w:p>
        </w:tc>
      </w:tr>
      <w:tr>
        <w:tc>
          <w:tcPr>
            <w:tcW w:type="dxa" w:w="1728"/>
          </w:tcPr>
          <w:p>
            <w:r>
              <w:rPr>
                <w:rFonts w:ascii="Calibri" w:hAnsi="Calibri"/>
                <w:sz w:val="22"/>
              </w:rPr>
              <w:t>FY 2026 Non-GAAP EPS</w:t>
            </w:r>
          </w:p>
        </w:tc>
        <w:tc>
          <w:tcPr>
            <w:tcW w:type="dxa" w:w="1728"/>
          </w:tcPr>
          <w:p>
            <w:r>
              <w:rPr>
                <w:rFonts w:ascii="Calibri" w:hAnsi="Calibri"/>
                <w:sz w:val="22"/>
              </w:rPr>
              <w:t>$23.85–$24.15 (raised from $23.45–$23.85 at Q4 2025)</w:t>
            </w:r>
          </w:p>
        </w:tc>
        <w:tc>
          <w:tcPr>
            <w:tcW w:type="dxa" w:w="1728"/>
          </w:tcPr>
          <w:p>
            <w:r>
              <w:rPr>
                <w:rFonts w:ascii="Calibri" w:hAnsi="Calibri"/>
                <w:sz w:val="22"/>
              </w:rPr>
              <w:t>—</w:t>
            </w:r>
          </w:p>
        </w:tc>
        <w:tc>
          <w:tcPr>
            <w:tcW w:type="dxa" w:w="1728"/>
          </w:tcPr>
          <w:p>
            <w:r>
              <w:rPr>
                <w:rFonts w:ascii="Calibri" w:hAnsi="Calibri"/>
                <w:sz w:val="22"/>
              </w:rPr>
              <w:t>$24.19</w:t>
            </w:r>
          </w:p>
        </w:tc>
        <w:tc>
          <w:tcPr>
            <w:tcW w:type="dxa" w:w="1728"/>
          </w:tcPr>
          <w:p>
            <w:r>
              <w:rPr>
                <w:rFonts w:ascii="Calibri" w:hAnsi="Calibri"/>
                <w:sz w:val="22"/>
              </w:rPr>
              <w:t>↑ Raised at Q1 2026 earnings (Apr 22); consensus now slightly above midpoint ($24.00), reflecting market confidence in beat trajectory</w:t>
            </w:r>
          </w:p>
        </w:tc>
      </w:tr>
      <w:tr>
        <w:tc>
          <w:tcPr>
            <w:tcW w:type="dxa" w:w="1728"/>
          </w:tcPr>
          <w:p>
            <w:r>
              <w:rPr>
                <w:rFonts w:ascii="Calibri" w:hAnsi="Calibri"/>
                <w:sz w:val="22"/>
              </w:rPr>
              <w:t>FY 2026 GAAP EPS</w:t>
            </w:r>
          </w:p>
        </w:tc>
        <w:tc>
          <w:tcPr>
            <w:tcW w:type="dxa" w:w="1728"/>
          </w:tcPr>
          <w:p>
            <w:r>
              <w:rPr>
                <w:rFonts w:ascii="Calibri" w:hAnsi="Calibri"/>
                <w:sz w:val="22"/>
              </w:rPr>
              <w:t>$20.08–$20.44 (raised from $19.76–$20.22)</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 Raised at Q1 2026 earnings; no post-earnings update</w:t>
            </w:r>
          </w:p>
        </w:tc>
      </w:tr>
      <w:tr>
        <w:tc>
          <w:tcPr>
            <w:tcW w:type="dxa" w:w="1728"/>
          </w:tcPr>
          <w:p>
            <w:r>
              <w:rPr>
                <w:rFonts w:ascii="Calibri" w:hAnsi="Calibri"/>
                <w:sz w:val="22"/>
              </w:rPr>
              <w:t>FY 2026 Revenue</w:t>
            </w:r>
          </w:p>
        </w:tc>
        <w:tc>
          <w:tcPr>
            <w:tcW w:type="dxa" w:w="1728"/>
          </w:tcPr>
          <w:p>
            <w:r>
              <w:rPr>
                <w:rFonts w:ascii="Calibri" w:hAnsi="Calibri"/>
                <w:sz w:val="22"/>
              </w:rPr>
              <w:t>~3.6% organic growth implied; no explicit revenue dollar guidance provided</w:t>
            </w:r>
          </w:p>
        </w:tc>
        <w:tc>
          <w:tcPr>
            <w:tcW w:type="dxa" w:w="1728"/>
          </w:tcPr>
          <w:p>
            <w:r>
              <w:rPr>
                <w:rFonts w:ascii="Calibri" w:hAnsi="Calibri"/>
                <w:sz w:val="22"/>
              </w:rPr>
              <w:t>—</w:t>
            </w:r>
          </w:p>
        </w:tc>
        <w:tc>
          <w:tcPr>
            <w:tcW w:type="dxa" w:w="1728"/>
          </w:tcPr>
          <w:p>
            <w:r>
              <w:rPr>
                <w:rFonts w:ascii="Calibri" w:hAnsi="Calibri"/>
                <w:sz w:val="22"/>
              </w:rPr>
              <w:t>$6.429B</w:t>
            </w:r>
          </w:p>
        </w:tc>
        <w:tc>
          <w:tcPr>
            <w:tcW w:type="dxa" w:w="1728"/>
          </w:tcPr>
          <w:p>
            <w:r>
              <w:rPr>
                <w:rFonts w:ascii="Calibri" w:hAnsi="Calibri"/>
                <w:sz w:val="22"/>
              </w:rPr>
              <w:t>Consensus implies ~5% YoY growth; tracking above organic growth guidance midpoint</w:t>
            </w:r>
          </w:p>
        </w:tc>
      </w:tr>
      <w:tr>
        <w:tc>
          <w:tcPr>
            <w:tcW w:type="dxa" w:w="1728"/>
          </w:tcPr>
          <w:p>
            <w:r>
              <w:rPr>
                <w:rFonts w:ascii="Calibri" w:hAnsi="Calibri"/>
                <w:sz w:val="22"/>
              </w:rPr>
              <w:t>Digital Imaging Op. Margin (FY 2026)</w:t>
            </w:r>
          </w:p>
        </w:tc>
        <w:tc>
          <w:tcPr>
            <w:tcW w:type="dxa" w:w="1728"/>
          </w:tcPr>
          <w:p>
            <w:r>
              <w:rPr>
                <w:rFonts w:ascii="Calibri" w:hAnsi="Calibri"/>
                <w:sz w:val="22"/>
              </w:rPr>
              <w:t>&gt;100 bps expansion vs. 2025 (23.4% target); path toward 24%</w:t>
            </w:r>
          </w:p>
        </w:tc>
        <w:tc>
          <w:tcPr>
            <w:tcW w:type="dxa" w:w="1728"/>
          </w:tcPr>
          <w:p>
            <w:r>
              <w:rPr>
                <w:rFonts w:ascii="Calibri" w:hAnsi="Calibri"/>
                <w:sz w:val="22"/>
              </w:rPr>
              <w:t>—</w:t>
            </w:r>
          </w:p>
        </w:tc>
        <w:tc>
          <w:tcPr>
            <w:tcW w:type="dxa" w:w="1728"/>
          </w:tcPr>
          <w:p>
            <w:r>
              <w:rPr>
                <w:rFonts w:ascii="Calibri" w:hAnsi="Calibri"/>
                <w:sz w:val="22"/>
              </w:rPr>
              <w:t>23.6%</w:t>
            </w:r>
          </w:p>
        </w:tc>
        <w:tc>
          <w:tcPr>
            <w:tcW w:type="dxa" w:w="1728"/>
          </w:tcPr>
          <w:p>
            <w:r>
              <w:rPr>
                <w:rFonts w:ascii="Calibri" w:hAnsi="Calibri"/>
                <w:sz w:val="22"/>
              </w:rPr>
              <w:t>Consensus tracking above guidance floor; FLIR performance and legacy imaging recovery cited as drivers</w:t>
            </w:r>
          </w:p>
        </w:tc>
      </w:tr>
      <w:tr>
        <w:tc>
          <w:tcPr>
            <w:tcW w:type="dxa" w:w="1728"/>
          </w:tcPr>
          <w:p>
            <w:r>
              <w:rPr>
                <w:rFonts w:ascii="Calibri" w:hAnsi="Calibri"/>
                <w:sz w:val="22"/>
              </w:rPr>
              <w:t>Unmanned Systems Revenue (FY 2026)</w:t>
            </w:r>
          </w:p>
        </w:tc>
        <w:tc>
          <w:tcPr>
            <w:tcW w:type="dxa" w:w="1728"/>
          </w:tcPr>
          <w:p>
            <w:r>
              <w:rPr>
                <w:rFonts w:ascii="Calibri" w:hAnsi="Calibri"/>
                <w:sz w:val="22"/>
              </w:rPr>
              <w:t>~$550M (+10% vs. 2025’s $500M)</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Management cited Iran conflict and European buildout as incremental demand catalysts; expects further order acceleration over next 6 months</w:t>
            </w:r>
          </w:p>
        </w:tc>
      </w:tr>
      <w:tr>
        <w:tc>
          <w:tcPr>
            <w:tcW w:type="dxa" w:w="1728"/>
          </w:tcPr>
          <w:p>
            <w:r>
              <w:rPr>
                <w:rFonts w:ascii="Calibri" w:hAnsi="Calibri"/>
                <w:sz w:val="22"/>
              </w:rPr>
              <w:t>FY 2026 Free Cash Flow</w:t>
            </w:r>
          </w:p>
        </w:tc>
        <w:tc>
          <w:tcPr>
            <w:tcW w:type="dxa" w:w="1728"/>
          </w:tcPr>
          <w:p>
            <w:r>
              <w:rPr>
                <w:rFonts w:ascii="Calibri" w:hAnsi="Calibri"/>
                <w:sz w:val="22"/>
              </w:rPr>
              <w:t>~$1B+ (consistent with 2025 level)</w:t>
            </w:r>
          </w:p>
        </w:tc>
        <w:tc>
          <w:tcPr>
            <w:tcW w:type="dxa" w:w="1728"/>
          </w:tcPr>
          <w:p>
            <w:r>
              <w:rPr>
                <w:rFonts w:ascii="Calibri" w:hAnsi="Calibri"/>
                <w:sz w:val="22"/>
              </w:rPr>
              <w:t>—</w:t>
            </w:r>
          </w:p>
        </w:tc>
        <w:tc>
          <w:tcPr>
            <w:tcW w:type="dxa" w:w="1728"/>
          </w:tcPr>
          <w:p>
            <w:r>
              <w:rPr>
                <w:rFonts w:ascii="Calibri" w:hAnsi="Calibri"/>
                <w:sz w:val="22"/>
              </w:rPr>
              <w:t>$1.160B</w:t>
            </w:r>
          </w:p>
        </w:tc>
        <w:tc>
          <w:tcPr>
            <w:tcW w:type="dxa" w:w="1728"/>
          </w:tcPr>
          <w:p>
            <w:r>
              <w:rPr>
                <w:rFonts w:ascii="Calibri" w:hAnsi="Calibri"/>
                <w:sz w:val="22"/>
              </w:rPr>
              <w:t>Consensus slightly above management’s informal target; CapEx stepped up materially in Q1 2026 (unusual for this point in year)</w:t>
            </w:r>
          </w:p>
        </w:tc>
      </w:tr>
    </w:tbl>
    <w:p>
      <w:r>
        <w:rPr>
          <w:rFonts w:ascii="Calibri" w:hAnsi="Calibri"/>
          <w:i/>
          <w:color w:val="525866"/>
          <w:sz w:val="22"/>
        </w:rPr>
        <w:t>Source: TDY Q1 2026 Earnings Release (April 22,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2026 print — Q2 2026 EPS consensus moved only +$0.006 and FY 2026 EPS moved +$0.014 from the post-earnings baseline, suggesting the street has largely accepted management’s raised guidance without adding incremental optimism; </w:t>
      </w:r>
      <w:r>
        <w:rPr>
          <w:rFonts w:ascii="Calibri" w:hAnsi="Calibri"/>
          <w:b/>
          <w:color w:val="525866"/>
          <w:sz w:val="22"/>
        </w:rPr>
        <w:t>the gap between consensus and guidance midpoint is narrow and represents cushion rather than risk</w:t>
      </w:r>
      <w:r>
        <w:rPr>
          <w:rFonts w:ascii="Calibri" w:hAnsi="Calibri"/>
          <w:color w:val="525866"/>
          <w:sz w:val="22"/>
        </w:rPr>
        <w: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28, 2026 (Post-Q1 Baseline)</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Non-GAAP EPS — Q2 2026</w:t>
            </w:r>
          </w:p>
        </w:tc>
        <w:tc>
          <w:tcPr>
            <w:tcW w:type="dxa" w:w="1080"/>
          </w:tcPr>
          <w:p>
            <w:r>
              <w:rPr>
                <w:rFonts w:ascii="Calibri" w:hAnsi="Calibri"/>
                <w:sz w:val="22"/>
              </w:rPr>
              <w:t>$5.787</w:t>
            </w:r>
          </w:p>
        </w:tc>
        <w:tc>
          <w:tcPr>
            <w:tcW w:type="dxa" w:w="1080"/>
          </w:tcPr>
          <w:p>
            <w:r>
              <w:rPr>
                <w:rFonts w:ascii="Calibri" w:hAnsi="Calibri"/>
                <w:sz w:val="22"/>
              </w:rPr>
              <w:t>$5.793</w:t>
            </w:r>
          </w:p>
        </w:tc>
        <w:tc>
          <w:tcPr>
            <w:tcW w:type="dxa" w:w="1080"/>
          </w:tcPr>
          <w:p>
            <w:r>
              <w:rPr>
                <w:rFonts w:ascii="Calibri" w:hAnsi="Calibri"/>
                <w:sz w:val="22"/>
              </w:rPr>
              <w:t>+0.1%</w:t>
            </w:r>
          </w:p>
        </w:tc>
        <w:tc>
          <w:tcPr>
            <w:tcW w:type="dxa" w:w="1080"/>
          </w:tcPr>
          <w:p>
            <w:r>
              <w:rPr>
                <w:rFonts w:ascii="Calibri" w:hAnsi="Calibri"/>
                <w:sz w:val="22"/>
              </w:rPr>
              <w:t>$5.70–$5.80 (mid: $5.75)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above midpoint</w:t>
            </w:r>
          </w:p>
        </w:tc>
      </w:tr>
      <w:tr>
        <w:tc>
          <w:tcPr>
            <w:tcW w:type="dxa" w:w="1080"/>
          </w:tcPr>
          <w:p>
            <w:r>
              <w:rPr>
                <w:rFonts w:ascii="Calibri" w:hAnsi="Calibri"/>
                <w:sz w:val="22"/>
              </w:rPr>
              <w:t>Revenue — Q2 2026 ($M)</w:t>
            </w:r>
          </w:p>
        </w:tc>
        <w:tc>
          <w:tcPr>
            <w:tcW w:type="dxa" w:w="1080"/>
          </w:tcPr>
          <w:p>
            <w:r>
              <w:rPr>
                <w:rFonts w:ascii="Calibri" w:hAnsi="Calibri"/>
                <w:sz w:val="22"/>
              </w:rPr>
              <w:t>$1,577.6</w:t>
            </w:r>
          </w:p>
        </w:tc>
        <w:tc>
          <w:tcPr>
            <w:tcW w:type="dxa" w:w="1080"/>
          </w:tcPr>
          <w:p>
            <w:r>
              <w:rPr>
                <w:rFonts w:ascii="Calibri" w:hAnsi="Calibri"/>
                <w:sz w:val="22"/>
              </w:rPr>
              <w:t>$1,579.5</w:t>
            </w:r>
          </w:p>
        </w:tc>
        <w:tc>
          <w:tcPr>
            <w:tcW w:type="dxa" w:w="1080"/>
          </w:tcPr>
          <w:p>
            <w:r>
              <w:rPr>
                <w:rFonts w:ascii="Calibri" w:hAnsi="Calibri"/>
                <w:sz w:val="22"/>
              </w:rPr>
              <w:t>+0.1%</w:t>
            </w:r>
          </w:p>
        </w:tc>
        <w:tc>
          <w:tcPr>
            <w:tcW w:type="dxa" w:w="1080"/>
          </w:tcPr>
          <w:p>
            <w:r>
              <w:rPr>
                <w:rFonts w:ascii="Calibri" w:hAnsi="Calibri"/>
                <w:sz w:val="22"/>
              </w:rPr>
              <w:t>No explicit Q2 revenue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FY 2026</w:t>
            </w:r>
          </w:p>
        </w:tc>
        <w:tc>
          <w:tcPr>
            <w:tcW w:type="dxa" w:w="1080"/>
          </w:tcPr>
          <w:p>
            <w:r>
              <w:rPr>
                <w:rFonts w:ascii="Calibri" w:hAnsi="Calibri"/>
                <w:sz w:val="22"/>
              </w:rPr>
              <w:t>$24.181</w:t>
            </w:r>
          </w:p>
        </w:tc>
        <w:tc>
          <w:tcPr>
            <w:tcW w:type="dxa" w:w="1080"/>
          </w:tcPr>
          <w:p>
            <w:r>
              <w:rPr>
                <w:rFonts w:ascii="Calibri" w:hAnsi="Calibri"/>
                <w:sz w:val="22"/>
              </w:rPr>
              <w:t>$24.195</w:t>
            </w:r>
          </w:p>
        </w:tc>
        <w:tc>
          <w:tcPr>
            <w:tcW w:type="dxa" w:w="1080"/>
          </w:tcPr>
          <w:p>
            <w:r>
              <w:rPr>
                <w:rFonts w:ascii="Calibri" w:hAnsi="Calibri"/>
                <w:sz w:val="22"/>
              </w:rPr>
              <w:t>+0.1%</w:t>
            </w:r>
          </w:p>
        </w:tc>
        <w:tc>
          <w:tcPr>
            <w:tcW w:type="dxa" w:w="1080"/>
          </w:tcPr>
          <w:p>
            <w:r>
              <w:rPr>
                <w:rFonts w:ascii="Calibri" w:hAnsi="Calibri"/>
                <w:sz w:val="22"/>
              </w:rPr>
              <w:t>$23.85–$24.15 (mid: $24.00)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+0.8% above midpoint</w:t>
            </w:r>
          </w:p>
        </w:tc>
      </w:tr>
      <w:tr>
        <w:tc>
          <w:tcPr>
            <w:tcW w:type="dxa" w:w="1080"/>
          </w:tcPr>
          <w:p>
            <w:r>
              <w:rPr>
                <w:rFonts w:ascii="Calibri" w:hAnsi="Calibri"/>
                <w:sz w:val="22"/>
              </w:rPr>
              <w:t>Revenue — FY 2026 ($M)</w:t>
            </w:r>
          </w:p>
        </w:tc>
        <w:tc>
          <w:tcPr>
            <w:tcW w:type="dxa" w:w="1080"/>
          </w:tcPr>
          <w:p>
            <w:r>
              <w:rPr>
                <w:rFonts w:ascii="Calibri" w:hAnsi="Calibri"/>
                <w:sz w:val="22"/>
              </w:rPr>
              <w:t>$6,428.1</w:t>
            </w:r>
          </w:p>
        </w:tc>
        <w:tc>
          <w:tcPr>
            <w:tcW w:type="dxa" w:w="1080"/>
          </w:tcPr>
          <w:p>
            <w:r>
              <w:rPr>
                <w:rFonts w:ascii="Calibri" w:hAnsi="Calibri"/>
                <w:sz w:val="22"/>
              </w:rPr>
              <w:t>$6,429.1</w:t>
            </w:r>
          </w:p>
        </w:tc>
        <w:tc>
          <w:tcPr>
            <w:tcW w:type="dxa" w:w="1080"/>
          </w:tcPr>
          <w:p>
            <w:r>
              <w:rPr>
                <w:rFonts w:ascii="Calibri" w:hAnsi="Calibri"/>
                <w:sz w:val="22"/>
              </w:rPr>
              <w:t>+0.0%</w:t>
            </w:r>
          </w:p>
        </w:tc>
        <w:tc>
          <w:tcPr>
            <w:tcW w:type="dxa" w:w="1080"/>
          </w:tcPr>
          <w:p>
            <w:r>
              <w:rPr>
                <w:rFonts w:ascii="Calibri" w:hAnsi="Calibri"/>
                <w:sz w:val="22"/>
              </w:rPr>
              <w:t>~3.6% organic growth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above organic guidance</w:t>
            </w:r>
          </w:p>
        </w:tc>
      </w:tr>
      <w:tr>
        <w:tc>
          <w:tcPr>
            <w:tcW w:type="dxa" w:w="1080"/>
          </w:tcPr>
          <w:p>
            <w:r>
              <w:rPr>
                <w:rFonts w:ascii="Calibri" w:hAnsi="Calibri"/>
                <w:sz w:val="22"/>
              </w:rPr>
              <w:t>Non-GAAP Op. Margin — Q2 2026 (%)</w:t>
            </w:r>
          </w:p>
        </w:tc>
        <w:tc>
          <w:tcPr>
            <w:tcW w:type="dxa" w:w="1080"/>
          </w:tcPr>
          <w:p>
            <w:r>
              <w:rPr>
                <w:rFonts w:ascii="Calibri" w:hAnsi="Calibri"/>
                <w:sz w:val="22"/>
              </w:rPr>
              <w:t>22.7%</w:t>
            </w:r>
          </w:p>
        </w:tc>
        <w:tc>
          <w:tcPr>
            <w:tcW w:type="dxa" w:w="1080"/>
          </w:tcPr>
          <w:p>
            <w:r>
              <w:rPr>
                <w:rFonts w:ascii="Calibri" w:hAnsi="Calibri"/>
                <w:sz w:val="22"/>
              </w:rPr>
              <w:t>22.7%</w:t>
            </w:r>
          </w:p>
        </w:tc>
        <w:tc>
          <w:tcPr>
            <w:tcW w:type="dxa" w:w="1080"/>
          </w:tcPr>
          <w:p>
            <w:r>
              <w:rPr>
                <w:rFonts w:ascii="Calibri" w:hAnsi="Calibri"/>
                <w:sz w:val="22"/>
              </w:rPr>
              <w:t>0.0%</w:t>
            </w:r>
          </w:p>
        </w:tc>
        <w:tc>
          <w:tcPr>
            <w:tcW w:type="dxa" w:w="1080"/>
          </w:tcPr>
          <w:p>
            <w:r>
              <w:rPr>
                <w:rFonts w:ascii="Calibri" w:hAnsi="Calibri"/>
                <w:sz w:val="22"/>
              </w:rPr>
              <w:t>No explicit Q2 margin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Op. Margin — FY 2026 (%)</w:t>
            </w:r>
          </w:p>
        </w:tc>
        <w:tc>
          <w:tcPr>
            <w:tcW w:type="dxa" w:w="1080"/>
          </w:tcPr>
          <w:p>
            <w:r>
              <w:rPr>
                <w:rFonts w:ascii="Calibri" w:hAnsi="Calibri"/>
                <w:sz w:val="22"/>
              </w:rPr>
              <w:t>23.1%</w:t>
            </w:r>
          </w:p>
        </w:tc>
        <w:tc>
          <w:tcPr>
            <w:tcW w:type="dxa" w:w="1080"/>
          </w:tcPr>
          <w:p>
            <w:r>
              <w:rPr>
                <w:rFonts w:ascii="Calibri" w:hAnsi="Calibri"/>
                <w:sz w:val="22"/>
              </w:rPr>
              <w:t>23.1%</w:t>
            </w:r>
          </w:p>
        </w:tc>
        <w:tc>
          <w:tcPr>
            <w:tcW w:type="dxa" w:w="1080"/>
          </w:tcPr>
          <w:p>
            <w:r>
              <w:rPr>
                <w:rFonts w:ascii="Calibri" w:hAnsi="Calibri"/>
                <w:sz w:val="22"/>
              </w:rPr>
              <w:t>0.0%</w:t>
            </w:r>
          </w:p>
        </w:tc>
        <w:tc>
          <w:tcPr>
            <w:tcW w:type="dxa" w:w="1080"/>
          </w:tcPr>
          <w:p>
            <w:r>
              <w:rPr>
                <w:rFonts w:ascii="Calibri" w:hAnsi="Calibri"/>
                <w:sz w:val="22"/>
              </w:rPr>
              <w:t>FY 2026 expansion expected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guidance</w:t>
            </w:r>
          </w:p>
        </w:tc>
      </w:tr>
      <w:tr>
        <w:tc>
          <w:tcPr>
            <w:tcW w:type="dxa" w:w="1080"/>
          </w:tcPr>
          <w:p>
            <w:r>
              <w:rPr>
                <w:rFonts w:ascii="Calibri" w:hAnsi="Calibri"/>
                <w:sz w:val="22"/>
              </w:rPr>
              <w:t>Digital Imaging Revenue — Q2 2026 ($M)</w:t>
            </w:r>
          </w:p>
        </w:tc>
        <w:tc>
          <w:tcPr>
            <w:tcW w:type="dxa" w:w="1080"/>
          </w:tcPr>
          <w:p>
            <w:r>
              <w:rPr>
                <w:rFonts w:ascii="Calibri" w:hAnsi="Calibri"/>
                <w:sz w:val="22"/>
              </w:rPr>
              <w:t>$812.8</w:t>
            </w:r>
          </w:p>
        </w:tc>
        <w:tc>
          <w:tcPr>
            <w:tcW w:type="dxa" w:w="1080"/>
          </w:tcPr>
          <w:p>
            <w:r>
              <w:rPr>
                <w:rFonts w:ascii="Calibri" w:hAnsi="Calibri"/>
                <w:sz w:val="22"/>
              </w:rPr>
              <w:t>$813.6</w:t>
            </w:r>
          </w:p>
        </w:tc>
        <w:tc>
          <w:tcPr>
            <w:tcW w:type="dxa" w:w="1080"/>
          </w:tcPr>
          <w:p>
            <w:r>
              <w:rPr>
                <w:rFonts w:ascii="Calibri" w:hAnsi="Calibri"/>
                <w:sz w:val="22"/>
              </w:rPr>
              <w:t>+0.1%</w:t>
            </w:r>
          </w:p>
        </w:tc>
        <w:tc>
          <w:tcPr>
            <w:tcW w:type="dxa" w:w="1080"/>
          </w:tcPr>
          <w:p>
            <w:r>
              <w:rPr>
                <w:rFonts w:ascii="Calibri" w:hAnsi="Calibri"/>
                <w:sz w:val="22"/>
              </w:rPr>
              <w:t>No explicit Q2 segment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Free Cash Flow — FY 2026 ($M)</w:t>
            </w:r>
          </w:p>
        </w:tc>
        <w:tc>
          <w:tcPr>
            <w:tcW w:type="dxa" w:w="1080"/>
          </w:tcPr>
          <w:p>
            <w:r>
              <w:rPr>
                <w:rFonts w:ascii="Calibri" w:hAnsi="Calibri"/>
                <w:sz w:val="22"/>
              </w:rPr>
              <w:t>$1,110.0</w:t>
            </w:r>
          </w:p>
        </w:tc>
        <w:tc>
          <w:tcPr>
            <w:tcW w:type="dxa" w:w="1080"/>
          </w:tcPr>
          <w:p>
            <w:r>
              <w:rPr>
                <w:rFonts w:ascii="Calibri" w:hAnsi="Calibri"/>
                <w:sz w:val="22"/>
              </w:rPr>
              <w:t>$1,159.8</w:t>
            </w:r>
          </w:p>
        </w:tc>
        <w:tc>
          <w:tcPr>
            <w:tcW w:type="dxa" w:w="1080"/>
          </w:tcPr>
          <w:p>
            <w:r>
              <w:rPr>
                <w:rFonts w:ascii="Calibri" w:hAnsi="Calibri"/>
                <w:sz w:val="22"/>
              </w:rPr>
              <w:t>+4.5%</w:t>
            </w:r>
          </w:p>
        </w:tc>
        <w:tc>
          <w:tcPr>
            <w:tcW w:type="dxa" w:w="1080"/>
          </w:tcPr>
          <w:p>
            <w:r>
              <w:rPr>
                <w:rFonts w:ascii="Calibri" w:hAnsi="Calibri"/>
                <w:sz w:val="22"/>
              </w:rPr>
              <w:t>~$1B+ (informal)</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well above informal target</w:t>
            </w:r>
          </w:p>
        </w:tc>
      </w:tr>
    </w:tbl>
    <w:p>
      <w:r>
        <w:rPr>
          <w:rFonts w:ascii="Calibri" w:hAnsi="Calibri"/>
          <w:i/>
          <w:color w:val="525866"/>
          <w:sz w:val="22"/>
        </w:rPr>
        <w:t>Source: Visible Alpha Consensus and Actuals Data. Post-Q1 baseline uses consensus as of April 28, 2026 (approximately 5 trading days after the April 22, 2026 earnings release). Current consensus as of July 21, 2026.</w:t>
      </w:r>
    </w:p>
    <w:p>
      <w:r>
        <w:rPr>
          <w:rFonts w:ascii="Calibri" w:hAnsi="Calibri"/>
          <w:color w:val="525866"/>
          <w:sz w:val="22"/>
        </w:rPr>
        <w:t>The near-zero estimate drift since the Q1 print is notable: the street has essentially locked in management’s raised guidance without adding incremental optimism, meaning any Q2 beat would be a genuine positive surprise rather than a consensus-chasing move. The FY 2026 FCF revision (+4.5%) is the one area where consensus has moved meaningfully above the post-earnings baseline, reflecting growing confidence in Teledyne’s cash conversion despite elevated CapEx.</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TDY has underperformed the iShares U.S. Aerospace &amp; Defense ETF (ITA) by approximately 9 percentage points since the Q1 2026 earnings print, declining ~4% vs. ITA’s +5% gain, despite a strong beat-and-raise quarter — suggesting </w:t>
      </w:r>
      <w:r>
        <w:rPr>
          <w:rFonts w:ascii="Calibri" w:hAnsi="Calibri"/>
          <w:b/>
          <w:color w:val="525866"/>
          <w:sz w:val="22"/>
        </w:rPr>
        <w:t>multiple compression rather than estimate-driven weakness</w:t>
      </w:r>
      <w:r>
        <w:rPr>
          <w:rFonts w:ascii="Calibri" w:hAnsi="Calibri"/>
          <w:color w:val="525866"/>
          <w:sz w:val="22"/>
        </w:rPr>
        <w:t>, and creating a more favorable risk/reward setup heading into Q2.</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TDY vs. ITA (iShares U.S. Aerospace &amp; Defense ETF) vs. S&amp;P 500 (SPY) — Indexed to 100 at Q1 2026 Earnings Date (April 22, 2026). Source: Stock Price Data.</w:t>
      </w:r>
    </w:p>
    <w:p>
      <w:r>
        <w:rPr>
          <w:rFonts w:ascii="Calibri" w:hAnsi="Calibri"/>
          <w:b/>
          <w:color w:val="525866"/>
          <w:sz w:val="22"/>
        </w:rPr>
        <w:t xml:space="preserve">Sector ETF: </w:t>
      </w:r>
      <w:r>
        <w:rPr>
          <w:rFonts w:ascii="Calibri" w:hAnsi="Calibri"/>
          <w:color w:val="525866"/>
          <w:sz w:val="22"/>
        </w:rPr>
        <w:t>ITA (iShares U.S. Aerospace &amp; Defense ETF) — appropriate for TDY given its ~60% defense revenue mix and primary exposure to U.S. defense electronics, imaging, and unmanned systems markets.</w:t>
      </w:r>
      <w:r>
        <w:rPr>
          <w:rFonts w:ascii="Calibri" w:hAnsi="Calibri"/>
          <w:color w:val="525866"/>
          <w:sz w:val="22"/>
        </w:rPr>
        <w:t xml:space="preserve"> TDY opened the post-earnings period at $656.69 (April 22, 2026) and traded at $647.48 as of July 21, 2026, a decline of ~1.4% in absolute terms. However, relative to ITA (+4.8%) and SPY (+5.2%) over the same period, TDY has underperformed by approximately 6–7 percentage points on a relative basis. This underperformance appears driven by multiple compression rather than estimate cuts — consensus EPS and revenue estimates have been essentially flat since the Q1 print. The stock’s relative weakness despite a strong Q1 beat-and-raise may reflect broader sector rotation dynamics and investor caution around the pace of defense budget outlays, creating a more attractive entry point ahead of Q2 results.</w:t>
      </w:r>
    </w:p>
    <w:p>
      <w:r>
        <w:br w:type="page"/>
      </w:r>
    </w:p>
    <w:p>
      <w:pPr>
        <w:pStyle w:val="Heading2"/>
      </w:pPr>
      <w:r>
        <w:rPr>
          <w:rFonts w:ascii="Calibri" w:hAnsi="Calibri"/>
          <w:b/>
          <w:color w:val="3B4259"/>
          <w:sz w:val="28"/>
        </w:rPr>
        <w:t>6. Peer Commentaries — Read-Through for TDY Q2 2026</w:t>
      </w:r>
    </w:p>
    <w:p>
      <w:r>
        <w:rPr>
          <w:rFonts w:ascii="Calibri" w:hAnsi="Calibri"/>
          <w:b/>
          <w:color w:val="525866"/>
          <w:sz w:val="22"/>
        </w:rPr>
        <w:t xml:space="preserve">Key Takeaway: </w:t>
      </w:r>
      <w:r>
        <w:rPr>
          <w:rFonts w:ascii="Calibri" w:hAnsi="Calibri"/>
          <w:color w:val="525866"/>
          <w:sz w:val="22"/>
        </w:rPr>
        <w:t xml:space="preserve">Peer commentary from the last 60 days is uniformly bullish on the defense demand themes most relevant to TDY — </w:t>
      </w:r>
      <w:r>
        <w:rPr>
          <w:rFonts w:ascii="Calibri" w:hAnsi="Calibri"/>
          <w:b/>
          <w:color w:val="525866"/>
          <w:sz w:val="22"/>
        </w:rPr>
        <w:t>defense electronics, infrared/space sensing, counter-UAS, unmanned systems, and international NATO spending</w:t>
      </w:r>
      <w:r>
        <w:rPr>
          <w:rFonts w:ascii="Calibri" w:hAnsi="Calibri"/>
          <w:color w:val="525866"/>
          <w:sz w:val="22"/>
        </w:rPr>
        <w:t xml:space="preserve"> — with multiple peers raising guidance and citing accelerating order activity; the read-through for TDY’s Q2 book-to-bill and Digital Imaging segment is strongly positive.</w:t>
      </w:r>
    </w:p>
    <w:p>
      <w:r>
        <w:rPr>
          <w:rFonts w:ascii="Calibri" w:hAnsi="Calibri"/>
          <w:i/>
          <w:color w:val="525866"/>
          <w:sz w:val="22"/>
        </w:rPr>
        <w:t>Note: Only forward-looking commentary and Q2 2026 outlook statements made after TDY’s Q1 2026 earnings (April 22, 2026) are included below. Peers’ own prior-quarter results commentary is excluded.</w:t>
      </w:r>
    </w:p>
    <w:p>
      <w:pPr>
        <w:pStyle w:val="Heading3"/>
      </w:pPr>
      <w:r>
        <w:rPr>
          <w:rFonts w:ascii="Calibri" w:hAnsi="Calibri"/>
          <w:b/>
          <w:color w:val="3B4259"/>
          <w:sz w:val="24"/>
        </w:rPr>
        <w:t>L3Harris Technologies (LHX) — Q1 2026 Earnings Call (May 2026)</w:t>
      </w:r>
    </w:p>
    <w:p>
      <w:pPr>
        <w:pStyle w:val="ListBullet"/>
        <w:ind w:left="360" w:hanging="360"/>
      </w:pPr>
      <w:r>
        <w:rPr>
          <w:rFonts w:ascii="Calibri" w:hAnsi="Calibri"/>
          <w:b/>
          <w:color w:val="525866"/>
          <w:sz w:val="22"/>
        </w:rPr>
        <w:t xml:space="preserve">Defense electronics &amp; space sensing demand: </w:t>
      </w:r>
      <w:r>
        <w:rPr>
          <w:rFonts w:ascii="Calibri" w:hAnsi="Calibri"/>
          <w:color w:val="525866"/>
          <w:sz w:val="22"/>
        </w:rPr>
        <w:t xml:space="preserve">LHX reaffirmed FY 2026 revenue guidance of $23.0–$23.5B (+7% organic at midpoint) and cited a backlog that has “almost doubled to over $40 billion” (not yet including $25B in Munitions Acceleration Council programs in negotiation). The space pipeline is described as “tens of billions of dollars.” </w:t>
      </w:r>
    </w:p>
    <w:p>
      <w:pPr>
        <w:pStyle w:val="ListBullet"/>
        <w:ind w:left="360" w:hanging="360"/>
      </w:pPr>
      <w:r>
        <w:rPr>
          <w:rFonts w:ascii="Calibri" w:hAnsi="Calibri"/>
          <w:b/>
          <w:color w:val="525866"/>
          <w:sz w:val="22"/>
        </w:rPr>
        <w:t xml:space="preserve">Read-through for TDY: </w:t>
      </w:r>
      <w:r>
        <w:rPr>
          <w:rFonts w:ascii="Calibri" w:hAnsi="Calibri"/>
          <w:color w:val="525866"/>
          <w:sz w:val="22"/>
        </w:rPr>
        <w:t>Directly positive for TDY’s Digital Imaging segment (infrared detectors for space, SDA tracking layer) and A&amp;D Electronics. LHX’s SDA tracking satellite wins (56 satellites to date) and HBTSS follow-on proposal validate the space sensing demand that drove TDY’s Q1 Digital Imaging book-to-bill of 1.38x.</w:t>
      </w:r>
    </w:p>
    <w:p>
      <w:pPr>
        <w:pStyle w:val="ListBullet"/>
        <w:ind w:left="360" w:hanging="360"/>
      </w:pPr>
      <w:r>
        <w:rPr>
          <w:rFonts w:ascii="Calibri" w:hAnsi="Calibri"/>
          <w:b/>
          <w:color w:val="525866"/>
          <w:sz w:val="22"/>
        </w:rPr>
        <w:t xml:space="preserve">International NATO demand: </w:t>
      </w:r>
      <w:r>
        <w:rPr>
          <w:rFonts w:ascii="Calibri" w:hAnsi="Calibri"/>
          <w:color w:val="525866"/>
          <w:sz w:val="22"/>
        </w:rPr>
        <w:t xml:space="preserve">LHX reported an international book-to-bill of 2.2x in Q1 2026, with $460M in NATO orders from Czech Republic, Germany, and Poland for software-defined radios. NATO allies are “about 20% complete” on 10-year modernization cycles. </w:t>
      </w:r>
    </w:p>
    <w:p>
      <w:pPr>
        <w:pStyle w:val="ListBullet"/>
        <w:ind w:left="360" w:hanging="360"/>
      </w:pPr>
      <w:r>
        <w:rPr>
          <w:rFonts w:ascii="Calibri" w:hAnsi="Calibri"/>
          <w:b/>
          <w:color w:val="525866"/>
          <w:sz w:val="22"/>
        </w:rPr>
        <w:t xml:space="preserve">Read-through for TDY: </w:t>
      </w:r>
      <w:r>
        <w:rPr>
          <w:rFonts w:ascii="Calibri" w:hAnsi="Calibri"/>
          <w:color w:val="525866"/>
          <w:sz w:val="22"/>
        </w:rPr>
        <w:t>Positive for TDY’s international defense electronics and instrumentation businesses. European defense buildout cited by TDY management as a near-term demand catalyst is confirmed by LHX’s 2.2x international book-to-bill.</w:t>
      </w:r>
    </w:p>
    <w:p>
      <w:pPr>
        <w:pStyle w:val="ListBullet"/>
        <w:ind w:left="360" w:hanging="360"/>
      </w:pPr>
      <w:r>
        <w:rPr>
          <w:rFonts w:ascii="Calibri" w:hAnsi="Calibri"/>
          <w:b/>
          <w:color w:val="525866"/>
          <w:sz w:val="22"/>
        </w:rPr>
        <w:t xml:space="preserve">Counter-UAS &amp; unmanned systems: </w:t>
      </w:r>
      <w:r>
        <w:rPr>
          <w:rFonts w:ascii="Calibri" w:hAnsi="Calibri"/>
          <w:color w:val="525866"/>
          <w:sz w:val="22"/>
        </w:rPr>
        <w:t xml:space="preserve">LHX’s VAMPIRE counter-drone system described as “combat proven with hundreds of successful drone engagements.” Company is converting factories to integrate counter-drone systems and sees a “rapidly expanding pipeline.” </w:t>
      </w:r>
    </w:p>
    <w:p>
      <w:pPr>
        <w:pStyle w:val="ListBullet"/>
        <w:ind w:left="360" w:hanging="360"/>
      </w:pPr>
      <w:r>
        <w:rPr>
          <w:rFonts w:ascii="Calibri" w:hAnsi="Calibri"/>
          <w:b/>
          <w:color w:val="525866"/>
          <w:sz w:val="22"/>
        </w:rPr>
        <w:t xml:space="preserve">Read-through for TDY: </w:t>
      </w:r>
      <w:r>
        <w:rPr>
          <w:rFonts w:ascii="Calibri" w:hAnsi="Calibri"/>
          <w:color w:val="525866"/>
          <w:sz w:val="22"/>
        </w:rPr>
        <w:t>Positive for TDY’s unmanned aerial systems (part of Digital Imaging) and defense electronics. TDY management guided for drone/counter-drone order acceleration over the next six months.</w:t>
      </w:r>
    </w:p>
    <w:p>
      <w:pPr>
        <w:pStyle w:val="ListBullet"/>
        <w:ind w:left="360" w:hanging="360"/>
      </w:pPr>
      <w:r>
        <w:rPr>
          <w:rFonts w:ascii="Calibri" w:hAnsi="Calibri"/>
          <w:b/>
          <w:color w:val="525866"/>
          <w:sz w:val="22"/>
        </w:rPr>
        <w:t xml:space="preserve">Q2 2026 tone: </w:t>
      </w:r>
      <w:r>
        <w:rPr>
          <w:rFonts w:ascii="Calibri" w:hAnsi="Calibri"/>
          <w:color w:val="525866"/>
          <w:sz w:val="22"/>
        </w:rPr>
        <w:t>New CFO Ken Sharp (45 days into the job at Q1 call) expressed high confidence: “We feel incredibly confident with the business.” CEO Kubasik added: “have an awesome second quarter.” No Q2-specific revenue guidance provided.</w:t>
      </w:r>
    </w:p>
    <w:p>
      <w:pPr>
        <w:pStyle w:val="Heading3"/>
      </w:pPr>
      <w:r>
        <w:rPr>
          <w:rFonts w:ascii="Calibri" w:hAnsi="Calibri"/>
          <w:b/>
          <w:color w:val="3B4259"/>
          <w:sz w:val="24"/>
        </w:rPr>
        <w:t>Leonardo DRS (DRS) — Q1 2026 Earnings Call (May 5, 2026)</w:t>
      </w:r>
    </w:p>
    <w:p>
      <w:pPr>
        <w:pStyle w:val="ListBullet"/>
        <w:ind w:left="360" w:hanging="360"/>
      </w:pPr>
      <w:r>
        <w:rPr>
          <w:rFonts w:ascii="Calibri" w:hAnsi="Calibri"/>
          <w:b/>
          <w:color w:val="525866"/>
          <w:sz w:val="22"/>
        </w:rPr>
        <w:t xml:space="preserve">Defense demand outlook: </w:t>
      </w:r>
      <w:r>
        <w:rPr>
          <w:rFonts w:ascii="Calibri" w:hAnsi="Calibri"/>
          <w:color w:val="525866"/>
          <w:sz w:val="22"/>
        </w:rPr>
        <w:t>DRS raised FY 2026 revenue guidance to $3.9–$3.975B (+7–9% organic) and EBITDA to $515–$530M. The company cited “supplemental defense funding from last summer’s reconciliation package will be deployed this fiscal year, accelerating critical capabilities procurement.” The FY 2027 budget request proposes $1.5T in total defense spending.</w:t>
      </w:r>
    </w:p>
    <w:p>
      <w:pPr>
        <w:pStyle w:val="ListBullet"/>
        <w:ind w:left="360" w:hanging="360"/>
      </w:pPr>
      <w:r>
        <w:rPr>
          <w:rFonts w:ascii="Calibri" w:hAnsi="Calibri"/>
          <w:b/>
          <w:color w:val="525866"/>
          <w:sz w:val="22"/>
        </w:rPr>
        <w:t xml:space="preserve">Q2 2026 specific guidance: </w:t>
      </w:r>
      <w:r>
        <w:rPr>
          <w:rFonts w:ascii="Calibri" w:hAnsi="Calibri"/>
          <w:color w:val="525866"/>
          <w:sz w:val="22"/>
        </w:rPr>
        <w:t xml:space="preserve">DRS guided Q2 2026 revenue to “around $900M” with EBITDA margin “comparable to Q1 in the mid-12% range.” This implies sequential acceleration from Q1’s $846M. </w:t>
      </w:r>
    </w:p>
    <w:p>
      <w:pPr>
        <w:pStyle w:val="ListBullet"/>
        <w:ind w:left="360" w:hanging="360"/>
      </w:pPr>
      <w:r>
        <w:rPr>
          <w:rFonts w:ascii="Calibri" w:hAnsi="Calibri"/>
          <w:b/>
          <w:color w:val="525866"/>
          <w:sz w:val="22"/>
        </w:rPr>
        <w:t xml:space="preserve">Read-through for TDY: </w:t>
      </w:r>
      <w:r>
        <w:rPr>
          <w:rFonts w:ascii="Calibri" w:hAnsi="Calibri"/>
          <w:color w:val="525866"/>
          <w:sz w:val="22"/>
        </w:rPr>
        <w:t>Directly positive. DRS’s Q2 revenue step-up guidance and raised FY outlook confirm that defense electronics demand is accelerating into Q2, not decelerating. DRS’s $533M DAIRCM infrared countermeasure IDIQ and “immense global demand” for tactical radars validate TDY’s infrared imaging and defense electronics growth thesis.</w:t>
      </w:r>
    </w:p>
    <w:p>
      <w:pPr>
        <w:pStyle w:val="ListBullet"/>
        <w:ind w:left="360" w:hanging="360"/>
      </w:pPr>
      <w:r>
        <w:rPr>
          <w:rFonts w:ascii="Calibri" w:hAnsi="Calibri"/>
          <w:b/>
          <w:color w:val="525866"/>
          <w:sz w:val="22"/>
        </w:rPr>
        <w:t xml:space="preserve">Infrared sensing &amp; counter-UAS: </w:t>
      </w:r>
      <w:r>
        <w:rPr>
          <w:rFonts w:ascii="Calibri" w:hAnsi="Calibri"/>
          <w:color w:val="525866"/>
          <w:sz w:val="22"/>
        </w:rPr>
        <w:t xml:space="preserve">DRS received a $533M DAIRCM production IDIQ (infrared countermeasures for aircraft survivability). Germanium availability improvement (a raw material for infrared sensors) contributed to better margins. Counter-UAS budget request cited at “$14–15B.” </w:t>
      </w:r>
    </w:p>
    <w:p>
      <w:pPr>
        <w:pStyle w:val="ListBullet"/>
        <w:ind w:left="360" w:hanging="360"/>
      </w:pPr>
      <w:r>
        <w:rPr>
          <w:rFonts w:ascii="Calibri" w:hAnsi="Calibri"/>
          <w:b/>
          <w:color w:val="525866"/>
          <w:sz w:val="22"/>
        </w:rPr>
        <w:t xml:space="preserve">Read-through for TDY: </w:t>
      </w:r>
      <w:r>
        <w:rPr>
          <w:rFonts w:ascii="Calibri" w:hAnsi="Calibri"/>
          <w:color w:val="525866"/>
          <w:sz w:val="22"/>
        </w:rPr>
        <w:t>Highly relevant. Improved germanium availability is a direct positive for TDY’s infrared detector business within Digital Imaging. The $14–15B counter-UAS budget validates TDY’s unmanned systems and infrared sensing demand.</w:t>
      </w:r>
    </w:p>
    <w:p>
      <w:pPr>
        <w:pStyle w:val="ListBullet"/>
        <w:ind w:left="360" w:hanging="360"/>
      </w:pPr>
      <w:r>
        <w:rPr>
          <w:rFonts w:ascii="Calibri" w:hAnsi="Calibri"/>
          <w:b/>
          <w:color w:val="525866"/>
          <w:sz w:val="22"/>
        </w:rPr>
        <w:t xml:space="preserve">Space sensing: </w:t>
      </w:r>
      <w:r>
        <w:rPr>
          <w:rFonts w:ascii="Calibri" w:hAnsi="Calibri"/>
          <w:color w:val="525866"/>
          <w:sz w:val="22"/>
        </w:rPr>
        <w:t>DRS awarded SDA tracking layer Tranche 3 program. Space identified as a key internal investment area due to “highest demand.”</w:t>
      </w:r>
    </w:p>
    <w:p>
      <w:pPr>
        <w:pStyle w:val="ListBullet"/>
        <w:ind w:left="360" w:hanging="360"/>
      </w:pPr>
      <w:r>
        <w:rPr>
          <w:rFonts w:ascii="Calibri" w:hAnsi="Calibri"/>
          <w:b/>
          <w:color w:val="525866"/>
          <w:sz w:val="22"/>
        </w:rPr>
        <w:t xml:space="preserve">Read-through for TDY: </w:t>
      </w:r>
      <w:r>
        <w:rPr>
          <w:rFonts w:ascii="Calibri" w:hAnsi="Calibri"/>
          <w:color w:val="525866"/>
          <w:sz w:val="22"/>
        </w:rPr>
        <w:t>Positive for TDY’s space-based infrared detector business, which was the primary driver of Q1 Digital Imaging organic growth.</w:t>
      </w:r>
    </w:p>
    <w:p>
      <w:pPr>
        <w:pStyle w:val="Heading3"/>
      </w:pPr>
      <w:r>
        <w:rPr>
          <w:rFonts w:ascii="Calibri" w:hAnsi="Calibri"/>
          <w:b/>
          <w:color w:val="3B4259"/>
          <w:sz w:val="24"/>
        </w:rPr>
        <w:t>Kratos Defense &amp; Security Solutions (KTOS) — Q1 2026 Earnings Call (May 6, 2026)</w:t>
      </w:r>
    </w:p>
    <w:p>
      <w:pPr>
        <w:pStyle w:val="ListBullet"/>
        <w:ind w:left="360" w:hanging="360"/>
      </w:pPr>
      <w:r>
        <w:rPr>
          <w:rFonts w:ascii="Calibri" w:hAnsi="Calibri"/>
          <w:b/>
          <w:color w:val="525866"/>
          <w:sz w:val="22"/>
        </w:rPr>
        <w:t xml:space="preserve">Unmanned systems demand: </w:t>
      </w:r>
      <w:r>
        <w:rPr>
          <w:rFonts w:ascii="Calibri" w:hAnsi="Calibri"/>
          <w:color w:val="525866"/>
          <w:sz w:val="22"/>
        </w:rPr>
        <w:t>KTOS reported Unmanned Systems organic revenue growth of 30.9% in Q1 2026, primarily driven by Valkyrie-related activity. Updated FY 2026 revenue guidance raised to $1.7–$1.76B (+15–19% organic). Q2 2026 revenue guided to $400–$410M (+4–7% organic vs. Q2 2025), with a step-down from Q1 due to timing of Unmanned Systems production and shipment.</w:t>
      </w:r>
    </w:p>
    <w:p>
      <w:pPr>
        <w:pStyle w:val="ListBullet"/>
        <w:ind w:left="360" w:hanging="360"/>
      </w:pPr>
      <w:r>
        <w:rPr>
          <w:rFonts w:ascii="Calibri" w:hAnsi="Calibri"/>
          <w:b/>
          <w:color w:val="525866"/>
          <w:sz w:val="22"/>
        </w:rPr>
        <w:t xml:space="preserve">Read-through for TDY: </w:t>
      </w:r>
      <w:r>
        <w:rPr>
          <w:rFonts w:ascii="Calibri" w:hAnsi="Calibri"/>
          <w:color w:val="525866"/>
          <w:sz w:val="22"/>
        </w:rPr>
        <w:t>Positive for TDY’s unmanned aerial systems business (part of Digital Imaging). KTOS’s 30.9% unmanned growth and Valkyrie LRIP Phase 1 negotiations confirm that drone demand is real and accelerating. TDY’s complete unmanned aerial systems contributed significantly to Q1 Digital Imaging growth.</w:t>
      </w:r>
    </w:p>
    <w:p>
      <w:pPr>
        <w:pStyle w:val="ListBullet"/>
        <w:ind w:left="360" w:hanging="360"/>
      </w:pPr>
      <w:r>
        <w:rPr>
          <w:rFonts w:ascii="Calibri" w:hAnsi="Calibri"/>
          <w:b/>
          <w:color w:val="525866"/>
          <w:sz w:val="22"/>
        </w:rPr>
        <w:t xml:space="preserve">Space &amp; satellite: </w:t>
      </w:r>
      <w:r>
        <w:rPr>
          <w:rFonts w:ascii="Calibri" w:hAnsi="Calibri"/>
          <w:color w:val="525866"/>
          <w:sz w:val="22"/>
        </w:rPr>
        <w:t>KTOS satellite business had a 3:1 book-to-bill in Q1 2026. Won a $447M U.S. Space Force prime contract for Resilient Missile Warning and Tracking (MEO constellation). Space and satellite business expected to be a “primary driver of increased revenue and profit margins in Q3 and Q4 of 2026.”</w:t>
      </w:r>
    </w:p>
    <w:p>
      <w:pPr>
        <w:pStyle w:val="ListBullet"/>
        <w:ind w:left="360" w:hanging="360"/>
      </w:pPr>
      <w:r>
        <w:rPr>
          <w:rFonts w:ascii="Calibri" w:hAnsi="Calibri"/>
          <w:b/>
          <w:color w:val="525866"/>
          <w:sz w:val="22"/>
        </w:rPr>
        <w:t xml:space="preserve">Read-through for TDY: </w:t>
      </w:r>
      <w:r>
        <w:rPr>
          <w:rFonts w:ascii="Calibri" w:hAnsi="Calibri"/>
          <w:color w:val="525866"/>
          <w:sz w:val="22"/>
        </w:rPr>
        <w:t>Positive for TDY’s space-based infrared detector and sensing business. KTOS’s 3:1 space book-to-bill and $447M Space Force contract confirm robust space sensing demand that TDY is also capturing.</w:t>
      </w:r>
    </w:p>
    <w:p>
      <w:pPr>
        <w:pStyle w:val="ListBullet"/>
        <w:ind w:left="360" w:hanging="360"/>
      </w:pPr>
      <w:r>
        <w:rPr>
          <w:rFonts w:ascii="Calibri" w:hAnsi="Calibri"/>
          <w:b/>
          <w:color w:val="525866"/>
          <w:sz w:val="22"/>
        </w:rPr>
        <w:t xml:space="preserve">Microwave electronics (Israel): </w:t>
      </w:r>
      <w:r>
        <w:rPr>
          <w:rFonts w:ascii="Calibri" w:hAnsi="Calibri"/>
          <w:color w:val="525866"/>
          <w:sz w:val="22"/>
        </w:rPr>
        <w:t>KTOS’s Israeli microwave electronics business (designed into virtually every missile and radar system for IAI, Rafael, Elbit) is expected to see “significant growth for the foreseeable future” due to munition restock and new systems. Organic growth of 12.3% in Q1.</w:t>
      </w:r>
    </w:p>
    <w:p>
      <w:pPr>
        <w:pStyle w:val="ListBullet"/>
        <w:ind w:left="360" w:hanging="360"/>
      </w:pPr>
      <w:r>
        <w:rPr>
          <w:rFonts w:ascii="Calibri" w:hAnsi="Calibri"/>
          <w:b/>
          <w:color w:val="525866"/>
          <w:sz w:val="22"/>
        </w:rPr>
        <w:t xml:space="preserve">Read-through for TDY: </w:t>
      </w:r>
      <w:r>
        <w:rPr>
          <w:rFonts w:ascii="Calibri" w:hAnsi="Calibri"/>
          <w:color w:val="525866"/>
          <w:sz w:val="22"/>
        </w:rPr>
        <w:t>Positive for TDY’s defense electronics and instrumentation businesses. The Iran conflict-driven munition restock and Israeli defense demand cited by TDY management as a near-term catalyst is confirmed by KTOS’s Israeli business commentary.</w:t>
      </w:r>
    </w:p>
    <w:p>
      <w:pPr>
        <w:pStyle w:val="ListBullet"/>
        <w:ind w:left="360" w:hanging="360"/>
      </w:pPr>
      <w:r>
        <w:rPr>
          <w:rFonts w:ascii="Calibri" w:hAnsi="Calibri"/>
          <w:b/>
          <w:color w:val="525866"/>
          <w:sz w:val="22"/>
        </w:rPr>
        <w:t xml:space="preserve">Defense spending: </w:t>
      </w:r>
      <w:r>
        <w:rPr>
          <w:rFonts w:ascii="Calibri" w:hAnsi="Calibri"/>
          <w:color w:val="525866"/>
          <w:sz w:val="22"/>
        </w:rPr>
        <w:t>KTOS noted only ~$30B of the $156B Reconciliation Bill had been obligated by April, with the full amount intended to be spent in FY 2026. This creates a significant “obligation wave” expected to accelerate through Q2–Q4 2026.</w:t>
      </w:r>
    </w:p>
    <w:p>
      <w:pPr>
        <w:pStyle w:val="ListBullet"/>
        <w:ind w:left="360" w:hanging="360"/>
      </w:pPr>
      <w:r>
        <w:rPr>
          <w:rFonts w:ascii="Calibri" w:hAnsi="Calibri"/>
          <w:b/>
          <w:color w:val="525866"/>
          <w:sz w:val="22"/>
        </w:rPr>
        <w:t xml:space="preserve">Read-through for TDY: </w:t>
      </w:r>
      <w:r>
        <w:rPr>
          <w:rFonts w:ascii="Calibri" w:hAnsi="Calibri"/>
          <w:color w:val="525866"/>
          <w:sz w:val="22"/>
        </w:rPr>
        <w:t>Positive. The pending obligation of ~$126B in unspent reconciliation funds is a major tailwind for TDY’s defense-exposed segments (Digital Imaging, A&amp;D Electronics) in Q2 and beyond.</w:t>
      </w:r>
    </w:p>
    <w:p>
      <w:pPr>
        <w:pStyle w:val="Heading3"/>
      </w:pPr>
      <w:r>
        <w:rPr>
          <w:rFonts w:ascii="Calibri" w:hAnsi="Calibri"/>
          <w:b/>
          <w:color w:val="3B4259"/>
          <w:sz w:val="24"/>
        </w:rPr>
        <w:t>Curtiss-Wright (CW) — Q1 2026 Earnings Call (May 7, 2026)</w:t>
      </w:r>
    </w:p>
    <w:p>
      <w:pPr>
        <w:pStyle w:val="ListBullet"/>
        <w:ind w:left="360" w:hanging="360"/>
      </w:pPr>
      <w:r>
        <w:rPr>
          <w:rFonts w:ascii="Calibri" w:hAnsi="Calibri"/>
          <w:b/>
          <w:color w:val="525866"/>
          <w:sz w:val="22"/>
        </w:rPr>
        <w:t xml:space="preserve">Defense electronics Q2 2026 outlook: </w:t>
      </w:r>
      <w:r>
        <w:rPr>
          <w:rFonts w:ascii="Calibri" w:hAnsi="Calibri"/>
          <w:color w:val="525866"/>
          <w:sz w:val="22"/>
        </w:rPr>
        <w:t>CW guided Q2 2026 overall sales to grow “mid-single digits” with “high single digits plus” operating income growth vs. Q2 2025. Defense Electronics segment Q2 expected to be “in line with last year’s Q2 results.” April order update for Defense Electronics showed +46% year-over-year improvement.</w:t>
      </w:r>
    </w:p>
    <w:p>
      <w:pPr>
        <w:pStyle w:val="ListBullet"/>
        <w:ind w:left="360" w:hanging="360"/>
      </w:pPr>
      <w:r>
        <w:rPr>
          <w:rFonts w:ascii="Calibri" w:hAnsi="Calibri"/>
          <w:b/>
          <w:color w:val="525866"/>
          <w:sz w:val="22"/>
        </w:rPr>
        <w:t xml:space="preserve">Read-through for TDY: </w:t>
      </w:r>
      <w:r>
        <w:rPr>
          <w:rFonts w:ascii="Calibri" w:hAnsi="Calibri"/>
          <w:color w:val="525866"/>
          <w:sz w:val="22"/>
        </w:rPr>
        <w:t>Positive. CW’s +46% April order improvement in Defense Electronics is a strong leading indicator for TDY’s A&amp;D Electronics segment. CW raised FY 2026 Defense Electronics sales growth to 4–6% with record margins of 27.3–27.5%.</w:t>
      </w:r>
    </w:p>
    <w:p>
      <w:pPr>
        <w:pStyle w:val="ListBullet"/>
        <w:ind w:left="360" w:hanging="360"/>
      </w:pPr>
      <w:r>
        <w:rPr>
          <w:rFonts w:ascii="Calibri" w:hAnsi="Calibri"/>
          <w:b/>
          <w:color w:val="525866"/>
          <w:sz w:val="22"/>
        </w:rPr>
        <w:t xml:space="preserve">Iran conflict demand: </w:t>
      </w:r>
      <w:r>
        <w:rPr>
          <w:rFonts w:ascii="Calibri" w:hAnsi="Calibri"/>
          <w:color w:val="525866"/>
          <w:sz w:val="22"/>
        </w:rPr>
        <w:t>CW explicitly cited: “the current situation over in Iran is definitely driving a lot of sparing activity type of work that we’re already beginning to see.”</w:t>
      </w:r>
    </w:p>
    <w:p>
      <w:pPr>
        <w:pStyle w:val="ListBullet"/>
        <w:ind w:left="360" w:hanging="360"/>
      </w:pPr>
      <w:r>
        <w:rPr>
          <w:rFonts w:ascii="Calibri" w:hAnsi="Calibri"/>
          <w:b/>
          <w:color w:val="525866"/>
          <w:sz w:val="22"/>
        </w:rPr>
        <w:t xml:space="preserve">Read-through for TDY: </w:t>
      </w:r>
      <w:r>
        <w:rPr>
          <w:rFonts w:ascii="Calibri" w:hAnsi="Calibri"/>
          <w:color w:val="525866"/>
          <w:sz w:val="22"/>
        </w:rPr>
        <w:t>Directly validates TDY management’s Q1 commentary that the Iran conflict is generating incremental order inquiries. CW is already seeing this translate into actual orders.</w:t>
      </w:r>
    </w:p>
    <w:p>
      <w:pPr>
        <w:pStyle w:val="ListBullet"/>
        <w:ind w:left="360" w:hanging="360"/>
      </w:pPr>
      <w:r>
        <w:rPr>
          <w:rFonts w:ascii="Calibri" w:hAnsi="Calibri"/>
          <w:b/>
          <w:color w:val="525866"/>
          <w:sz w:val="22"/>
        </w:rPr>
        <w:t xml:space="preserve">NATO/international: </w:t>
      </w:r>
      <w:r>
        <w:rPr>
          <w:rFonts w:ascii="Calibri" w:hAnsi="Calibri"/>
          <w:color w:val="525866"/>
          <w:sz w:val="22"/>
        </w:rPr>
        <w:t>CW expects direct foreign military sales to grow 10% in 2026, “slightly ahead of prior expectations.” NATO allies “targeting record levels of defense spending.” Raised FY 2026 Aerospace Defense sales growth to 11–13%.</w:t>
      </w:r>
    </w:p>
    <w:p>
      <w:pPr>
        <w:pStyle w:val="ListBullet"/>
        <w:ind w:left="360" w:hanging="360"/>
      </w:pPr>
      <w:r>
        <w:rPr>
          <w:rFonts w:ascii="Calibri" w:hAnsi="Calibri"/>
          <w:b/>
          <w:color w:val="525866"/>
          <w:sz w:val="22"/>
        </w:rPr>
        <w:t xml:space="preserve">Read-through for TDY: </w:t>
      </w:r>
      <w:r>
        <w:rPr>
          <w:rFonts w:ascii="Calibri" w:hAnsi="Calibri"/>
          <w:color w:val="525866"/>
          <w:sz w:val="22"/>
        </w:rPr>
        <w:t>Positive for TDY’s international defense electronics and instrumentation businesses. CW’s 10% FMS growth and NATO commentary confirm the international demand tailwind TDY cited.</w:t>
      </w:r>
    </w:p>
    <w:p>
      <w:pPr>
        <w:pStyle w:val="ListBullet"/>
        <w:ind w:left="360" w:hanging="360"/>
      </w:pPr>
      <w:r>
        <w:rPr>
          <w:rFonts w:ascii="Calibri" w:hAnsi="Calibri"/>
          <w:b/>
          <w:color w:val="525866"/>
          <w:sz w:val="22"/>
        </w:rPr>
        <w:t xml:space="preserve">Raised FY 2026 guidance: </w:t>
      </w:r>
      <w:r>
        <w:rPr>
          <w:rFonts w:ascii="Calibri" w:hAnsi="Calibri"/>
          <w:color w:val="525866"/>
          <w:sz w:val="22"/>
        </w:rPr>
        <w:t>CW raised FY 2026 overall sales growth to 7–8%, operating margin to record 19–19.2%, and diluted EPS to $14.90–$15.30 (+13–16%). Record backlog of nearly $4.3B.</w:t>
      </w:r>
    </w:p>
    <w:p>
      <w:pPr>
        <w:pStyle w:val="ListBullet"/>
        <w:ind w:left="360" w:hanging="360"/>
      </w:pPr>
      <w:r>
        <w:rPr>
          <w:rFonts w:ascii="Calibri" w:hAnsi="Calibri"/>
          <w:b/>
          <w:color w:val="525866"/>
          <w:sz w:val="22"/>
        </w:rPr>
        <w:t xml:space="preserve">Read-through for TDY: </w:t>
      </w:r>
      <w:r>
        <w:rPr>
          <w:rFonts w:ascii="Calibri" w:hAnsi="Calibri"/>
          <w:color w:val="525866"/>
          <w:sz w:val="22"/>
        </w:rPr>
        <w:t>Positive sector read-through. CW’s beat-and-raise with record backlog and margins confirms that the defense electronics and A&amp;D sub-sector is in a strong demand cycle.</w:t>
      </w:r>
    </w:p>
    <w:p>
      <w:pPr>
        <w:pStyle w:val="Heading3"/>
      </w:pPr>
      <w:r>
        <w:rPr>
          <w:rFonts w:ascii="Calibri" w:hAnsi="Calibri"/>
          <w:b/>
          <w:color w:val="3B4259"/>
          <w:sz w:val="24"/>
        </w:rPr>
        <w:t>HEICO Corporation (HEI) — Q2 FY2026 Earnings Call (May 28, 2026)</w:t>
      </w:r>
    </w:p>
    <w:p>
      <w:pPr>
        <w:pStyle w:val="ListBullet"/>
        <w:ind w:left="360" w:hanging="360"/>
      </w:pPr>
      <w:r>
        <w:rPr>
          <w:rFonts w:ascii="Calibri" w:hAnsi="Calibri"/>
          <w:b/>
          <w:color w:val="525866"/>
          <w:sz w:val="22"/>
        </w:rPr>
        <w:t xml:space="preserve">Defense demand acceleration: </w:t>
      </w:r>
      <w:r>
        <w:rPr>
          <w:rFonts w:ascii="Calibri" w:hAnsi="Calibri"/>
          <w:color w:val="525866"/>
          <w:sz w:val="22"/>
        </w:rPr>
        <w:t>HEICO’s Electronic Technologies Group (ETG) set all-time quarterly records in Q2 FY2026, with operating income up 56% and net sales up 34% (17% organic). Management noted “record backlogs and record orders” for ETG. Defense sales represent “just a tick under 30%” of total sales, growing at a “nice clip.”</w:t>
      </w:r>
    </w:p>
    <w:p>
      <w:pPr>
        <w:pStyle w:val="ListBullet"/>
        <w:ind w:left="360" w:hanging="360"/>
      </w:pPr>
      <w:r>
        <w:rPr>
          <w:rFonts w:ascii="Calibri" w:hAnsi="Calibri"/>
          <w:b/>
          <w:color w:val="525866"/>
          <w:sz w:val="22"/>
        </w:rPr>
        <w:t xml:space="preserve">Read-through for TDY: </w:t>
      </w:r>
      <w:r>
        <w:rPr>
          <w:rFonts w:ascii="Calibri" w:hAnsi="Calibri"/>
          <w:color w:val="525866"/>
          <w:sz w:val="22"/>
        </w:rPr>
        <w:t>Highly positive. HEI’s ETG (defense electronics, aerospace, and space products) is the closest analog to TDY’s Digital Imaging and A&amp;D Electronics segments. 17% organic growth in ETG and record orders are a strong positive read-through for TDY’s Q2 defense electronics demand.</w:t>
      </w:r>
    </w:p>
    <w:p>
      <w:pPr>
        <w:pStyle w:val="ListBullet"/>
        <w:ind w:left="360" w:hanging="360"/>
      </w:pPr>
      <w:r>
        <w:rPr>
          <w:rFonts w:ascii="Calibri" w:hAnsi="Calibri"/>
          <w:b/>
          <w:color w:val="525866"/>
          <w:sz w:val="22"/>
        </w:rPr>
        <w:t xml:space="preserve">Drone &amp; unmanned systems: </w:t>
      </w:r>
      <w:r>
        <w:rPr>
          <w:rFonts w:ascii="Calibri" w:hAnsi="Calibri"/>
          <w:color w:val="525866"/>
          <w:sz w:val="22"/>
        </w:rPr>
        <w:t>HEI is “very active in the drone and the unmanned missile business, which continues to remain very strong.” Customers are asking “how can you 6x, how can you 4x, how can you 10x your production of certain components?”</w:t>
      </w:r>
    </w:p>
    <w:p>
      <w:pPr>
        <w:pStyle w:val="ListBullet"/>
        <w:ind w:left="360" w:hanging="360"/>
      </w:pPr>
      <w:r>
        <w:rPr>
          <w:rFonts w:ascii="Calibri" w:hAnsi="Calibri"/>
          <w:b/>
          <w:color w:val="525866"/>
          <w:sz w:val="22"/>
        </w:rPr>
        <w:t xml:space="preserve">Read-through for TDY: </w:t>
      </w:r>
      <w:r>
        <w:rPr>
          <w:rFonts w:ascii="Calibri" w:hAnsi="Calibri"/>
          <w:color w:val="525866"/>
          <w:sz w:val="22"/>
        </w:rPr>
        <w:t>Directly positive for TDY’s unmanned aerial systems and infrared components businesses. The “10x production” inquiry language mirrors TDY management’s commentary about government investing in Teledyne’s capacity.</w:t>
      </w:r>
    </w:p>
    <w:p>
      <w:pPr>
        <w:pStyle w:val="ListBullet"/>
        <w:ind w:left="360" w:hanging="360"/>
      </w:pPr>
      <w:r>
        <w:rPr>
          <w:rFonts w:ascii="Calibri" w:hAnsi="Calibri"/>
          <w:b/>
          <w:color w:val="525866"/>
          <w:sz w:val="22"/>
        </w:rPr>
        <w:t xml:space="preserve">Space demand: </w:t>
      </w:r>
      <w:r>
        <w:rPr>
          <w:rFonts w:ascii="Calibri" w:hAnsi="Calibri"/>
          <w:color w:val="525866"/>
          <w:sz w:val="22"/>
        </w:rPr>
        <w:t>HEI described space as “rocketing ahead” with demand signals “really robust” and “continuing up to the right.” Three subsidiaries supplied mission-critical components on NASA’s Artemis 2 mission.</w:t>
      </w:r>
    </w:p>
    <w:p>
      <w:pPr>
        <w:pStyle w:val="ListBullet"/>
        <w:ind w:left="360" w:hanging="360"/>
      </w:pPr>
      <w:r>
        <w:rPr>
          <w:rFonts w:ascii="Calibri" w:hAnsi="Calibri"/>
          <w:b/>
          <w:color w:val="525866"/>
          <w:sz w:val="22"/>
        </w:rPr>
        <w:t xml:space="preserve">Read-through for TDY: </w:t>
      </w:r>
      <w:r>
        <w:rPr>
          <w:rFonts w:ascii="Calibri" w:hAnsi="Calibri"/>
          <w:color w:val="525866"/>
          <w:sz w:val="22"/>
        </w:rPr>
        <w:t>Positive for TDY’s space-based infrared detector business. HEI’s space commentary (reporting in late May, covering the April–May period) confirms that space demand remained robust into Q2 2026.</w:t>
      </w:r>
    </w:p>
    <w:p>
      <w:pPr>
        <w:pStyle w:val="ListBullet"/>
        <w:ind w:left="360" w:hanging="360"/>
      </w:pPr>
      <w:r>
        <w:rPr>
          <w:rFonts w:ascii="Calibri" w:hAnsi="Calibri"/>
          <w:b/>
          <w:color w:val="525866"/>
          <w:sz w:val="22"/>
        </w:rPr>
        <w:t xml:space="preserve">Defense pull-forward note: </w:t>
      </w:r>
      <w:r>
        <w:rPr>
          <w:rFonts w:ascii="Calibri" w:hAnsi="Calibri"/>
          <w:color w:val="525866"/>
          <w:sz w:val="22"/>
        </w:rPr>
        <w:t>HEI noted a pull-forward of “$15–20M” in defense-related sales from later in FY2026 into Q2 FY2026 (April–May period). This boosted Q2 margin by ~60 bps.</w:t>
      </w:r>
    </w:p>
    <w:p>
      <w:pPr>
        <w:pStyle w:val="ListBullet"/>
        <w:ind w:left="360" w:hanging="360"/>
      </w:pPr>
      <w:r>
        <w:rPr>
          <w:rFonts w:ascii="Calibri" w:hAnsi="Calibri"/>
          <w:b/>
          <w:color w:val="525866"/>
          <w:sz w:val="22"/>
        </w:rPr>
        <w:t xml:space="preserve">Read-through for TDY: </w:t>
      </w:r>
      <w:r>
        <w:rPr>
          <w:rFonts w:ascii="Calibri" w:hAnsi="Calibri"/>
          <w:color w:val="525866"/>
          <w:sz w:val="22"/>
        </w:rPr>
        <w:t>Slight caution: some defense revenue may have been pulled forward into Q1/Q2 from later quarters. However, HEI’s overall defense backlog and order commentary remain strongly positive.</w:t>
      </w:r>
    </w:p>
    <w:p>
      <w:pPr>
        <w:pStyle w:val="Heading3"/>
      </w:pPr>
      <w:r>
        <w:rPr>
          <w:rFonts w:ascii="Calibri" w:hAnsi="Calibri"/>
          <w:b/>
          <w:color w:val="3B4259"/>
          <w:sz w:val="24"/>
        </w:rPr>
        <w:t>Northrop Grumman (NOC) — Q2 2026 Earnings Call (July 21, 2026)</w:t>
      </w:r>
    </w:p>
    <w:p>
      <w:pPr>
        <w:pStyle w:val="ListBullet"/>
        <w:ind w:left="360" w:hanging="360"/>
      </w:pPr>
      <w:r>
        <w:rPr>
          <w:rFonts w:ascii="Calibri" w:hAnsi="Calibri"/>
          <w:b/>
          <w:color w:val="525866"/>
          <w:sz w:val="22"/>
        </w:rPr>
        <w:t xml:space="preserve">Defense demand — most current read-through: </w:t>
      </w:r>
      <w:r>
        <w:rPr>
          <w:rFonts w:ascii="Calibri" w:hAnsi="Calibri"/>
          <w:color w:val="525866"/>
          <w:sz w:val="22"/>
        </w:rPr>
        <w:t>NOC reported Q2 2026 net awards of $20B, driving a book-to-bill of 1.84x and a record backlog of $105B (+17% YoY). Sales accelerated to $10.9B (+5% YoY, +10% sequential). Raised FY 2026 EPS guidance by $1.20 and now expects full-year book-to-bill of “at least 1.25x.”</w:t>
      </w:r>
    </w:p>
    <w:p>
      <w:pPr>
        <w:pStyle w:val="ListBullet"/>
        <w:ind w:left="360" w:hanging="360"/>
      </w:pPr>
      <w:r>
        <w:rPr>
          <w:rFonts w:ascii="Calibri" w:hAnsi="Calibri"/>
          <w:b/>
          <w:color w:val="525866"/>
          <w:sz w:val="22"/>
        </w:rPr>
        <w:t xml:space="preserve">Read-through for TDY: </w:t>
      </w:r>
      <w:r>
        <w:rPr>
          <w:rFonts w:ascii="Calibri" w:hAnsi="Calibri"/>
          <w:color w:val="525866"/>
          <w:sz w:val="22"/>
        </w:rPr>
        <w:t>Strongly positive. NOC’s 1.84x Q2 book-to-bill and $20B in awards confirm that defense order activity accelerated materially in Q2 2026 — directly validating TDY management’s April guidance for “further defense order acceleration over the next six months.”</w:t>
      </w:r>
    </w:p>
    <w:p>
      <w:pPr>
        <w:pStyle w:val="ListBullet"/>
        <w:ind w:left="360" w:hanging="360"/>
      </w:pPr>
      <w:r>
        <w:rPr>
          <w:rFonts w:ascii="Calibri" w:hAnsi="Calibri"/>
          <w:b/>
          <w:color w:val="525866"/>
          <w:sz w:val="22"/>
        </w:rPr>
        <w:t xml:space="preserve">Space sensing &amp; missile defense: </w:t>
      </w:r>
      <w:r>
        <w:rPr>
          <w:rFonts w:ascii="Calibri" w:hAnsi="Calibri"/>
          <w:color w:val="525866"/>
          <w:sz w:val="22"/>
        </w:rPr>
        <w:t>NOC’s national security space backlog stands at over $16B, with the business projected to grow “high single digits” and generate over $7B in sales in 2026. Mission Systems sales up 3%, supported by F-35 sensors and restricted airborne radar programs. Margin rates improved to 15.4%.</w:t>
      </w:r>
    </w:p>
    <w:p>
      <w:pPr>
        <w:pStyle w:val="ListBullet"/>
        <w:ind w:left="360" w:hanging="360"/>
      </w:pPr>
      <w:r>
        <w:rPr>
          <w:rFonts w:ascii="Calibri" w:hAnsi="Calibri"/>
          <w:b/>
          <w:color w:val="525866"/>
          <w:sz w:val="22"/>
        </w:rPr>
        <w:t xml:space="preserve">Read-through for TDY: </w:t>
      </w:r>
      <w:r>
        <w:rPr>
          <w:rFonts w:ascii="Calibri" w:hAnsi="Calibri"/>
          <w:color w:val="525866"/>
          <w:sz w:val="22"/>
        </w:rPr>
        <w:t>Positive for TDY’s space-based infrared detector and defense electronics businesses. NOC’s $16B+ space backlog and high-single-digit space growth confirm sustained demand for the space sensing components TDY supplies.</w:t>
      </w:r>
    </w:p>
    <w:p>
      <w:pPr>
        <w:pStyle w:val="ListBullet"/>
        <w:ind w:left="360" w:hanging="360"/>
      </w:pPr>
      <w:r>
        <w:rPr>
          <w:rFonts w:ascii="Calibri" w:hAnsi="Calibri"/>
          <w:b/>
          <w:color w:val="525866"/>
          <w:sz w:val="22"/>
        </w:rPr>
        <w:t xml:space="preserve">NATO &amp; international: </w:t>
      </w:r>
      <w:r>
        <w:rPr>
          <w:rFonts w:ascii="Calibri" w:hAnsi="Calibri"/>
          <w:color w:val="525866"/>
          <w:sz w:val="22"/>
        </w:rPr>
        <w:t>At the NATO summit, allies pledged $50B in additional investments. NOC’s multi-year goal is to double annual international sales to $10B by 2031. FMS process described as “approved at a much more rapid rate.”</w:t>
      </w:r>
    </w:p>
    <w:p>
      <w:pPr>
        <w:pStyle w:val="ListBullet"/>
        <w:ind w:left="360" w:hanging="360"/>
      </w:pPr>
      <w:r>
        <w:rPr>
          <w:rFonts w:ascii="Calibri" w:hAnsi="Calibri"/>
          <w:b/>
          <w:color w:val="525866"/>
          <w:sz w:val="22"/>
        </w:rPr>
        <w:t xml:space="preserve">Read-through for TDY: </w:t>
      </w:r>
      <w:r>
        <w:rPr>
          <w:rFonts w:ascii="Calibri" w:hAnsi="Calibri"/>
          <w:color w:val="525866"/>
          <w:sz w:val="22"/>
        </w:rPr>
        <w:t>Positive. NATO’s $50B commitment and accelerating FMS approvals are a direct tailwind for TDY’s international defense electronics and instrumentation businesses.</w:t>
      </w:r>
    </w:p>
    <w:p>
      <w:pPr>
        <w:pStyle w:val="ListBullet"/>
        <w:ind w:left="360" w:hanging="360"/>
      </w:pPr>
      <w:r>
        <w:rPr>
          <w:rFonts w:ascii="Calibri" w:hAnsi="Calibri"/>
          <w:b/>
          <w:color w:val="525866"/>
          <w:sz w:val="22"/>
        </w:rPr>
        <w:t xml:space="preserve">Defense budget: </w:t>
      </w:r>
      <w:r>
        <w:rPr>
          <w:rFonts w:ascii="Calibri" w:hAnsi="Calibri"/>
          <w:color w:val="525866"/>
          <w:sz w:val="22"/>
        </w:rPr>
        <w:t>House and Senate Armed Services Committees each supported $1.1T in the base DoW budget (+10% from FY2026). Administration submitted a supplemental request for $67B and a $350B reconciliation package. NOC expects “increased momentum in government outlays” for the remainder of 2026.</w:t>
      </w:r>
    </w:p>
    <w:p>
      <w:pPr>
        <w:pStyle w:val="ListBullet"/>
        <w:ind w:left="360" w:hanging="360"/>
      </w:pPr>
      <w:r>
        <w:rPr>
          <w:rFonts w:ascii="Calibri" w:hAnsi="Calibri"/>
          <w:b/>
          <w:color w:val="525866"/>
          <w:sz w:val="22"/>
        </w:rPr>
        <w:t xml:space="preserve">Read-through for TDY: </w:t>
      </w:r>
      <w:r>
        <w:rPr>
          <w:rFonts w:ascii="Calibri" w:hAnsi="Calibri"/>
          <w:color w:val="525866"/>
          <w:sz w:val="22"/>
        </w:rPr>
        <w:t>Strongly positive. NOC’s “increased momentum in government outlays” language is the most current (same-day) confirmation that defense spending is accelerating into Q2 and beyond — the most important macro tailwind for TDY’s Q2 print.</w:t>
      </w:r>
    </w:p>
    <w:p>
      <w:pPr>
        <w:pStyle w:val="Heading3"/>
      </w:pPr>
      <w:r>
        <w:rPr>
          <w:rFonts w:ascii="Calibri" w:hAnsi="Calibri"/>
          <w:b/>
          <w:color w:val="3B4259"/>
          <w:sz w:val="24"/>
        </w:rPr>
        <w:t>Leidos (LDOS) — Q1 2026 Earnings Call (May 5, 2026)</w:t>
      </w:r>
    </w:p>
    <w:p>
      <w:pPr>
        <w:pStyle w:val="ListBullet"/>
        <w:ind w:left="360" w:hanging="360"/>
      </w:pPr>
      <w:r>
        <w:rPr>
          <w:rFonts w:ascii="Calibri" w:hAnsi="Calibri"/>
          <w:b/>
          <w:color w:val="525866"/>
          <w:sz w:val="22"/>
        </w:rPr>
        <w:t xml:space="preserve">Q2 2026 outlook: </w:t>
      </w:r>
      <w:r>
        <w:rPr>
          <w:rFonts w:ascii="Calibri" w:hAnsi="Calibri"/>
          <w:color w:val="525866"/>
          <w:sz w:val="22"/>
        </w:rPr>
        <w:t>LDOS guided Q2 2026 as the “likely low point this year in revenue growth and margin,” with Q1 revenue overperformance viewed as a pull-forward from Q2. Q2 run rate and profitability expected to be “similar to Q1, maybe a small step down.”</w:t>
      </w:r>
    </w:p>
    <w:p>
      <w:pPr>
        <w:pStyle w:val="ListBullet"/>
        <w:ind w:left="360" w:hanging="360"/>
      </w:pPr>
      <w:r>
        <w:rPr>
          <w:rFonts w:ascii="Calibri" w:hAnsi="Calibri"/>
          <w:b/>
          <w:color w:val="525866"/>
          <w:sz w:val="22"/>
        </w:rPr>
        <w:t xml:space="preserve">Read-through for TDY: </w:t>
      </w:r>
      <w:r>
        <w:rPr>
          <w:rFonts w:ascii="Calibri" w:hAnsi="Calibri"/>
          <w:color w:val="525866"/>
          <w:sz w:val="22"/>
        </w:rPr>
        <w:t>Mild caution: LDOS’s Q2 pull-forward commentary suggests some defense IT/services revenue may have shifted from Q2 to Q1. However, LDOS’s business (IT services, cyber) is less directly comparable to TDY’s hardware/sensor focus.</w:t>
      </w:r>
    </w:p>
    <w:p>
      <w:pPr>
        <w:pStyle w:val="ListBullet"/>
        <w:ind w:left="360" w:hanging="360"/>
      </w:pPr>
      <w:r>
        <w:rPr>
          <w:rFonts w:ascii="Calibri" w:hAnsi="Calibri"/>
          <w:b/>
          <w:color w:val="525866"/>
          <w:sz w:val="22"/>
        </w:rPr>
        <w:t xml:space="preserve">Unmanned surface vehicles: </w:t>
      </w:r>
      <w:r>
        <w:rPr>
          <w:rFonts w:ascii="Calibri" w:hAnsi="Calibri"/>
          <w:color w:val="525866"/>
          <w:sz w:val="22"/>
        </w:rPr>
        <w:t>LDOS’s Seahawk MUSV was “operationally deployed” (not experimentally) as part of the Theodore Roosevelt Carrier Strike Group — the U.S. Navy’s first medium unmanned surface vehicle to reach this level. Both surface and subsurface autonomous programs seeing “increased pull by the Department of Navy.”</w:t>
      </w:r>
    </w:p>
    <w:p>
      <w:pPr>
        <w:pStyle w:val="ListBullet"/>
        <w:ind w:left="360" w:hanging="360"/>
      </w:pPr>
      <w:r>
        <w:rPr>
          <w:rFonts w:ascii="Calibri" w:hAnsi="Calibri"/>
          <w:b/>
          <w:color w:val="525866"/>
          <w:sz w:val="22"/>
        </w:rPr>
        <w:t xml:space="preserve">Read-through for TDY: </w:t>
      </w:r>
      <w:r>
        <w:rPr>
          <w:rFonts w:ascii="Calibri" w:hAnsi="Calibri"/>
          <w:color w:val="525866"/>
          <w:sz w:val="22"/>
        </w:rPr>
        <w:t>Positive for TDY’s marine instrumentation and underwater vehicle businesses. Navy’s operational deployment of unmanned surface vessels confirms the demand trajectory for marine autonomous systems.</w:t>
      </w:r>
    </w:p>
    <w:p>
      <w:pPr>
        <w:pStyle w:val="ListBullet"/>
        <w:ind w:left="360" w:hanging="360"/>
      </w:pPr>
      <w:r>
        <w:rPr>
          <w:rFonts w:ascii="Calibri" w:hAnsi="Calibri"/>
          <w:b/>
          <w:color w:val="525866"/>
          <w:sz w:val="22"/>
        </w:rPr>
        <w:t xml:space="preserve">Raised FY 2026 guidance: </w:t>
      </w:r>
      <w:r>
        <w:rPr>
          <w:rFonts w:ascii="Calibri" w:hAnsi="Calibri"/>
          <w:color w:val="525866"/>
          <w:sz w:val="22"/>
        </w:rPr>
        <w:t>LDOS raised FY 2026 revenue guidance by $500M to $18.0–$18.4B and non-GAAP EPS by $0.05 to $12.10–$12.50, primarily reflecting the Entrust acquisition.</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confirmation of accelerating defense order activity across the sector</w:t>
      </w:r>
      <w:r>
        <w:rPr>
          <w:rFonts w:ascii="Calibri" w:hAnsi="Calibri"/>
          <w:color w:val="525866"/>
          <w:sz w:val="22"/>
        </w:rPr>
        <w:t xml:space="preserve"> (NOC’s 1.84x Q2 book-to-bill reported today), which directly validates TDY management’s April guidance for further drone, counter-drone, and underwater vehicle order acceleration — the single most important variable for TDY’s Q2 print.</w:t>
      </w:r>
    </w:p>
    <w:p>
      <w:pPr>
        <w:pStyle w:val="ListBullet"/>
        <w:ind w:left="360" w:hanging="360"/>
      </w:pPr>
      <w:r>
        <w:rPr>
          <w:rFonts w:ascii="Calibri" w:hAnsi="Calibri"/>
          <w:b/>
          <w:color w:val="525866"/>
          <w:sz w:val="22"/>
        </w:rPr>
        <w:t xml:space="preserve">July 21, 2026 — NOC Q2 2026 Earnings: </w:t>
      </w:r>
      <w:r>
        <w:rPr>
          <w:rFonts w:ascii="Calibri" w:hAnsi="Calibri"/>
          <w:color w:val="525866"/>
          <w:sz w:val="22"/>
        </w:rPr>
        <w:t xml:space="preserve">Northrop Grumman reported a 1.84x Q2 book-to-bill and record $105B backlog (+17% YoY), with sales up 5% YoY and raised FY 2026 EPS guidance by $1.20. Management cited “increased momentum in government outlays” for the remainder of 2026. </w:t>
      </w:r>
      <w:r>
        <w:rPr>
          <w:rFonts w:ascii="Calibri" w:hAnsi="Calibri"/>
          <w:b/>
          <w:color w:val="525866"/>
          <w:sz w:val="22"/>
        </w:rPr>
        <w:t xml:space="preserve">Implication: </w:t>
      </w:r>
      <w:r>
        <w:rPr>
          <w:rFonts w:ascii="Calibri" w:hAnsi="Calibri"/>
          <w:color w:val="525866"/>
          <w:sz w:val="22"/>
        </w:rPr>
        <w:t>Most current (same-day) confirmation that defense order activity accelerated materially in Q2 2026, directly validating TDY’s April guidance for further order acceleration. Positive read-through for TDY’s Q2 book-to-bill and backlog.</w:t>
      </w:r>
    </w:p>
    <w:p>
      <w:pPr>
        <w:pStyle w:val="ListBullet"/>
        <w:ind w:left="360" w:hanging="360"/>
      </w:pPr>
      <w:r>
        <w:rPr>
          <w:rFonts w:ascii="Calibri" w:hAnsi="Calibri"/>
          <w:b/>
          <w:color w:val="525866"/>
          <w:sz w:val="22"/>
        </w:rPr>
        <w:t xml:space="preserve">July 14, 2026 — TDY Q2 2026 Earnings Webcast Announced: </w:t>
      </w:r>
      <w:r>
        <w:rPr>
          <w:rFonts w:ascii="Calibri" w:hAnsi="Calibri"/>
          <w:color w:val="525866"/>
          <w:sz w:val="22"/>
        </w:rPr>
        <w:t xml:space="preserve">Teledyne announced the details of its Q2 2026 earnings webcast, confirming the upcoming earnings event. </w:t>
      </w:r>
      <w:r>
        <w:rPr>
          <w:rFonts w:ascii="Calibri" w:hAnsi="Calibri"/>
          <w:b/>
          <w:color w:val="525866"/>
          <w:sz w:val="22"/>
        </w:rPr>
        <w:t xml:space="preserve">Implication: </w:t>
      </w:r>
      <w:r>
        <w:rPr>
          <w:rFonts w:ascii="Calibri" w:hAnsi="Calibri"/>
          <w:color w:val="525866"/>
          <w:sz w:val="22"/>
        </w:rPr>
        <w:t>Confirms Q2 2026 results are imminent; no pre-announcement or guidance update was issued alongside the webcast announcement, suggesting no material negative developments to disclose.</w:t>
      </w:r>
    </w:p>
    <w:p>
      <w:pPr>
        <w:pStyle w:val="ListBullet"/>
        <w:ind w:left="360" w:hanging="360"/>
      </w:pPr>
      <w:r>
        <w:rPr>
          <w:rFonts w:ascii="Calibri" w:hAnsi="Calibri"/>
          <w:b/>
          <w:color w:val="525866"/>
          <w:sz w:val="22"/>
        </w:rPr>
        <w:t xml:space="preserve">May 2026 — NATO Summit: $50B in Additional Defense Investments Pledged: </w:t>
      </w:r>
      <w:r>
        <w:rPr>
          <w:rFonts w:ascii="Calibri" w:hAnsi="Calibri"/>
          <w:color w:val="525866"/>
          <w:sz w:val="22"/>
        </w:rPr>
        <w:t xml:space="preserve">NATO allies pledged $50B in additional investments at the NATO summit, with specific commitments for autonomous aircraft and accelerating FMS approvals. </w:t>
      </w:r>
      <w:r>
        <w:rPr>
          <w:rFonts w:ascii="Calibri" w:hAnsi="Calibri"/>
          <w:b/>
          <w:color w:val="525866"/>
          <w:sz w:val="22"/>
        </w:rPr>
        <w:t xml:space="preserve">Implication: </w:t>
      </w:r>
      <w:r>
        <w:rPr>
          <w:rFonts w:ascii="Calibri" w:hAnsi="Calibri"/>
          <w:color w:val="525866"/>
          <w:sz w:val="22"/>
        </w:rPr>
        <w:t>Positive for TDY’s international defense electronics and instrumentation businesses. TDY management cited European defense buildout as a near-term demand catalyst at Q1 earnings.</w:t>
      </w:r>
    </w:p>
    <w:p>
      <w:pPr>
        <w:pStyle w:val="ListBullet"/>
        <w:ind w:left="360" w:hanging="360"/>
      </w:pPr>
      <w:r>
        <w:rPr>
          <w:rFonts w:ascii="Calibri" w:hAnsi="Calibri"/>
          <w:b/>
          <w:color w:val="525866"/>
          <w:sz w:val="22"/>
        </w:rPr>
        <w:t xml:space="preserve">May 2026 — U.S. FY2027 Budget Request: $1.5T Total Defense Spending: </w:t>
      </w:r>
      <w:r>
        <w:rPr>
          <w:rFonts w:ascii="Calibri" w:hAnsi="Calibri"/>
          <w:color w:val="525866"/>
          <w:sz w:val="22"/>
        </w:rPr>
        <w:t xml:space="preserve">The administration submitted a FY2027 budget request proposing $1.5T in total defense spending, with specific funding for counter-UAS ($14–15B), unmanned systems, space sensing, and missile defense. </w:t>
      </w:r>
      <w:r>
        <w:rPr>
          <w:rFonts w:ascii="Calibri" w:hAnsi="Calibri"/>
          <w:b/>
          <w:color w:val="525866"/>
          <w:sz w:val="22"/>
        </w:rPr>
        <w:t xml:space="preserve">Implication: </w:t>
      </w:r>
      <w:r>
        <w:rPr>
          <w:rFonts w:ascii="Calibri" w:hAnsi="Calibri"/>
          <w:color w:val="525866"/>
          <w:sz w:val="22"/>
        </w:rPr>
        <w:t>Directly positive for TDY’s Digital Imaging (infrared detectors, space sensing, unmanned aerial systems) and A&amp;D Electronics segments. Validates TDY’s capacity investment posture.</w:t>
      </w:r>
    </w:p>
    <w:p>
      <w:pPr>
        <w:pStyle w:val="ListBullet"/>
        <w:ind w:left="360" w:hanging="360"/>
      </w:pPr>
      <w:r>
        <w:rPr>
          <w:rFonts w:ascii="Calibri" w:hAnsi="Calibri"/>
          <w:b/>
          <w:color w:val="525866"/>
          <w:sz w:val="22"/>
        </w:rPr>
        <w:t xml:space="preserve">April–May 2026 — Iran Conflict Driving Sparing Activity: </w:t>
      </w:r>
      <w:r>
        <w:rPr>
          <w:rFonts w:ascii="Calibri" w:hAnsi="Calibri"/>
          <w:color w:val="525866"/>
          <w:sz w:val="22"/>
        </w:rPr>
        <w:t xml:space="preserve">Multiple defense peers (CW, DRS, KTOS) confirmed that the Iran conflict is generating incremental defense orders and sparing activity. CW explicitly noted “the current situation over in Iran is definitely driving a lot of sparing activity type of work that we’re already beginning to see.” </w:t>
      </w:r>
      <w:r>
        <w:rPr>
          <w:rFonts w:ascii="Calibri" w:hAnsi="Calibri"/>
          <w:b/>
          <w:color w:val="525866"/>
          <w:sz w:val="22"/>
        </w:rPr>
        <w:t xml:space="preserve">Implication: </w:t>
      </w:r>
      <w:r>
        <w:rPr>
          <w:rFonts w:ascii="Calibri" w:hAnsi="Calibri"/>
          <w:color w:val="525866"/>
          <w:sz w:val="22"/>
        </w:rPr>
        <w:t>Validates TDY management’s Q1 commentary citing the Iran conflict as a near-term demand catalyst. Positive for TDY’s defense electronics and infrared imaging businesses.</w:t>
      </w:r>
    </w:p>
    <w:p>
      <w:pPr>
        <w:pStyle w:val="ListBullet"/>
        <w:ind w:left="360" w:hanging="360"/>
      </w:pPr>
      <w:r>
        <w:rPr>
          <w:rFonts w:ascii="Calibri" w:hAnsi="Calibri"/>
          <w:b/>
          <w:color w:val="525866"/>
          <w:sz w:val="22"/>
        </w:rPr>
        <w:t xml:space="preserve">April 22, 2026 — TDY Shareholders Approve Right to Call Special Meetings (25% Threshold): </w:t>
      </w:r>
      <w:r>
        <w:rPr>
          <w:rFonts w:ascii="Calibri" w:hAnsi="Calibri"/>
          <w:color w:val="525866"/>
          <w:sz w:val="22"/>
        </w:rPr>
        <w:t xml:space="preserve">TDY shareholders approved an amendment to the Restated Certificate of Incorporation allowing stockholders holding 25% of outstanding shares to call special meetings (approved by 87%+ of outstanding shares). </w:t>
      </w:r>
      <w:r>
        <w:rPr>
          <w:rFonts w:ascii="Calibri" w:hAnsi="Calibri"/>
          <w:b/>
          <w:color w:val="525866"/>
          <w:sz w:val="22"/>
        </w:rPr>
        <w:t xml:space="preserve">Implication: </w:t>
      </w:r>
      <w:r>
        <w:rPr>
          <w:rFonts w:ascii="Calibri" w:hAnsi="Calibri"/>
          <w:color w:val="525866"/>
          <w:sz w:val="22"/>
        </w:rPr>
        <w:t>Governance enhancement; no direct financial impact on Q2 results. Reflects shareholder engagement on governance matters.</w:t>
      </w:r>
    </w:p>
    <w:p>
      <w:pPr>
        <w:pStyle w:val="ListBullet"/>
        <w:ind w:left="360" w:hanging="360"/>
      </w:pPr>
      <w:r>
        <w:rPr>
          <w:rFonts w:ascii="Calibri" w:hAnsi="Calibri"/>
          <w:b/>
          <w:color w:val="525866"/>
          <w:sz w:val="22"/>
        </w:rPr>
        <w:t xml:space="preserve">April 22, 2026 — TDY Q1 2026 Beat-and-Raise: Record Quarter: </w:t>
      </w:r>
      <w:r>
        <w:rPr>
          <w:rFonts w:ascii="Calibri" w:hAnsi="Calibri"/>
          <w:color w:val="525866"/>
          <w:sz w:val="22"/>
        </w:rPr>
        <w:t xml:space="preserve">TDY reported record Q1 2026 sales ($1,560.1M, +7.6% YoY), non-GAAP EPS ($5.80, +17.2% YoY), and operating margin (22.6% non-GAAP). Raised FY 2026 non-GAAP EPS guidance to $23.85–$24.15. Book-to-bill of 1.16x overall (10th consecutive quarter above 1.0x), Digital Imaging at 1.38x. </w:t>
      </w:r>
      <w:r>
        <w:rPr>
          <w:rFonts w:ascii="Calibri" w:hAnsi="Calibri"/>
          <w:b/>
          <w:color w:val="525866"/>
          <w:sz w:val="22"/>
        </w:rPr>
        <w:t xml:space="preserve">Implication: </w:t>
      </w:r>
      <w:r>
        <w:rPr>
          <w:rFonts w:ascii="Calibri" w:hAnsi="Calibri"/>
          <w:color w:val="525866"/>
          <w:sz w:val="22"/>
        </w:rPr>
        <w:t>Sets a high bar for Q2 but also establishes strong momentum. Management’s unusual organic investment posture (elevated CapEx and R&amp;D) signals high conviction in demand outlook.</w:t>
      </w:r>
    </w:p>
    <w:p>
      <w:pPr>
        <w:pStyle w:val="ListBullet"/>
        <w:ind w:left="360" w:hanging="360"/>
      </w:pPr>
      <w:r>
        <w:rPr>
          <w:rFonts w:ascii="Calibri" w:hAnsi="Calibri"/>
          <w:b/>
          <w:color w:val="525866"/>
          <w:sz w:val="22"/>
        </w:rPr>
        <w:t xml:space="preserve">Ongoing — Reconciliation Bill Obligation Wave: </w:t>
      </w:r>
      <w:r>
        <w:rPr>
          <w:rFonts w:ascii="Calibri" w:hAnsi="Calibri"/>
          <w:color w:val="525866"/>
          <w:sz w:val="22"/>
        </w:rPr>
        <w:t xml:space="preserve">KTOS noted only ~$30B of the $156B FY2025 Reconciliation Bill had been obligated by April 2026, with the full amount intended to be spent in FY2026. This creates a significant obligation wave expected to accelerate through Q2–Q4 2026. </w:t>
      </w:r>
      <w:r>
        <w:rPr>
          <w:rFonts w:ascii="Calibri" w:hAnsi="Calibri"/>
          <w:b/>
          <w:color w:val="525866"/>
          <w:sz w:val="22"/>
        </w:rPr>
        <w:t xml:space="preserve">Implication: </w:t>
      </w:r>
      <w:r>
        <w:rPr>
          <w:rFonts w:ascii="Calibri" w:hAnsi="Calibri"/>
          <w:color w:val="525866"/>
          <w:sz w:val="22"/>
        </w:rPr>
        <w:t>Positive for TDY’s defense-exposed segments. The pending obligation of ~$126B in unspent reconciliation funds is a major near-term tailwind for defense electronics, unmanned systems, and space sensing orders.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activity since last earnings consists of routine compensation-related grants (stock option awards and restricted stock unit grants) on April 22, 2026 — the earnings date itself; </w:t>
      </w:r>
      <w:r>
        <w:rPr>
          <w:rFonts w:ascii="Calibri" w:hAnsi="Calibri"/>
          <w:b/>
          <w:color w:val="525866"/>
          <w:sz w:val="22"/>
        </w:rPr>
        <w:t>there are no open-market buys or discretionary sells</w:t>
      </w:r>
      <w:r>
        <w:rPr>
          <w:rFonts w:ascii="Calibri" w:hAnsi="Calibri"/>
          <w:color w:val="525866"/>
          <w:sz w:val="22"/>
        </w:rPr>
        <w:t>, and no 10b5-1 plan initiations or sales were filed. The absence of any discretionary selling by executives following a record quarter is a mild positive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George C. Bobb III</w:t>
            </w:r>
          </w:p>
        </w:tc>
        <w:tc>
          <w:tcPr>
            <w:tcW w:type="dxa" w:w="1440"/>
          </w:tcPr>
          <w:p>
            <w:r>
              <w:rPr>
                <w:rFonts w:ascii="Calibri" w:hAnsi="Calibri"/>
                <w:sz w:val="22"/>
              </w:rPr>
              <w:t>President &amp; CEO</w:t>
            </w:r>
          </w:p>
        </w:tc>
        <w:tc>
          <w:tcPr>
            <w:tcW w:type="dxa" w:w="1440"/>
          </w:tcPr>
          <w:p>
            <w:r>
              <w:rPr>
                <w:rFonts w:ascii="Calibri" w:hAnsi="Calibri"/>
                <w:sz w:val="22"/>
              </w:rPr>
              <w:t>Stock Option Award (Compensation)</w:t>
            </w:r>
          </w:p>
        </w:tc>
        <w:tc>
          <w:tcPr>
            <w:tcW w:type="dxa" w:w="1440"/>
          </w:tcPr>
          <w:p>
            <w:r>
              <w:rPr>
                <w:rFonts w:ascii="Calibri" w:hAnsi="Calibri"/>
                <w:sz w:val="22"/>
              </w:rPr>
              <w:t>5,515 options</w:t>
            </w:r>
          </w:p>
        </w:tc>
        <w:tc>
          <w:tcPr>
            <w:tcW w:type="dxa" w:w="1440"/>
          </w:tcPr>
          <w:p>
            <w:r>
              <w:rPr>
                <w:rFonts w:ascii="Calibri" w:hAnsi="Calibri"/>
                <w:sz w:val="22"/>
              </w:rPr>
              <w:t>Apr 22, 2026</w:t>
            </w:r>
          </w:p>
        </w:tc>
        <w:tc>
          <w:tcPr>
            <w:tcW w:type="dxa" w:w="1440"/>
          </w:tcPr>
          <w:p>
            <w:r>
              <w:rPr>
                <w:rFonts w:ascii="Calibri" w:hAnsi="Calibri"/>
                <w:sz w:val="22"/>
              </w:rPr>
              <w:t>Routine annual compensation grant; not an open-market transaction</w:t>
            </w:r>
          </w:p>
        </w:tc>
      </w:tr>
      <w:tr>
        <w:tc>
          <w:tcPr>
            <w:tcW w:type="dxa" w:w="1440"/>
          </w:tcPr>
          <w:p>
            <w:r>
              <w:rPr>
                <w:rFonts w:ascii="Calibri" w:hAnsi="Calibri"/>
                <w:sz w:val="22"/>
              </w:rPr>
              <w:t>Robert Mehrabian</w:t>
            </w:r>
          </w:p>
        </w:tc>
        <w:tc>
          <w:tcPr>
            <w:tcW w:type="dxa" w:w="1440"/>
          </w:tcPr>
          <w:p>
            <w:r>
              <w:rPr>
                <w:rFonts w:ascii="Calibri" w:hAnsi="Calibri"/>
                <w:sz w:val="22"/>
              </w:rPr>
              <w:t>Executive Chairman</w:t>
            </w:r>
          </w:p>
        </w:tc>
        <w:tc>
          <w:tcPr>
            <w:tcW w:type="dxa" w:w="1440"/>
          </w:tcPr>
          <w:p>
            <w:r>
              <w:rPr>
                <w:rFonts w:ascii="Calibri" w:hAnsi="Calibri"/>
                <w:sz w:val="22"/>
              </w:rPr>
              <w:t>Stock Option Award (Compensation)</w:t>
            </w:r>
          </w:p>
        </w:tc>
        <w:tc>
          <w:tcPr>
            <w:tcW w:type="dxa" w:w="1440"/>
          </w:tcPr>
          <w:p>
            <w:r>
              <w:rPr>
                <w:rFonts w:ascii="Calibri" w:hAnsi="Calibri"/>
                <w:sz w:val="22"/>
              </w:rPr>
              <w:t>5,633 options</w:t>
            </w:r>
          </w:p>
        </w:tc>
        <w:tc>
          <w:tcPr>
            <w:tcW w:type="dxa" w:w="1440"/>
          </w:tcPr>
          <w:p>
            <w:r>
              <w:rPr>
                <w:rFonts w:ascii="Calibri" w:hAnsi="Calibri"/>
                <w:sz w:val="22"/>
              </w:rPr>
              <w:t>Apr 22, 2026</w:t>
            </w:r>
          </w:p>
        </w:tc>
        <w:tc>
          <w:tcPr>
            <w:tcW w:type="dxa" w:w="1440"/>
          </w:tcPr>
          <w:p>
            <w:r>
              <w:rPr>
                <w:rFonts w:ascii="Calibri" w:hAnsi="Calibri"/>
                <w:sz w:val="22"/>
              </w:rPr>
              <w:t>Routine annual compensation grant; not an open-market transaction</w:t>
            </w:r>
          </w:p>
        </w:tc>
      </w:tr>
      <w:tr>
        <w:tc>
          <w:tcPr>
            <w:tcW w:type="dxa" w:w="1440"/>
          </w:tcPr>
          <w:p>
            <w:r>
              <w:rPr>
                <w:rFonts w:ascii="Calibri" w:hAnsi="Calibri"/>
                <w:sz w:val="22"/>
              </w:rPr>
              <w:t>Stephen F. Blackwood</w:t>
            </w:r>
          </w:p>
        </w:tc>
        <w:tc>
          <w:tcPr>
            <w:tcW w:type="dxa" w:w="1440"/>
          </w:tcPr>
          <w:p>
            <w:r>
              <w:rPr>
                <w:rFonts w:ascii="Calibri" w:hAnsi="Calibri"/>
                <w:sz w:val="22"/>
              </w:rPr>
              <w:t>EVP &amp; CFO</w:t>
            </w:r>
          </w:p>
        </w:tc>
        <w:tc>
          <w:tcPr>
            <w:tcW w:type="dxa" w:w="1440"/>
          </w:tcPr>
          <w:p>
            <w:r>
              <w:rPr>
                <w:rFonts w:ascii="Calibri" w:hAnsi="Calibri"/>
                <w:sz w:val="22"/>
              </w:rPr>
              <w:t>Stock Option Award (Compensation)</w:t>
            </w:r>
          </w:p>
        </w:tc>
        <w:tc>
          <w:tcPr>
            <w:tcW w:type="dxa" w:w="1440"/>
          </w:tcPr>
          <w:p>
            <w:r>
              <w:rPr>
                <w:rFonts w:ascii="Calibri" w:hAnsi="Calibri"/>
                <w:sz w:val="22"/>
              </w:rPr>
              <w:t>2,470 options</w:t>
            </w:r>
          </w:p>
        </w:tc>
        <w:tc>
          <w:tcPr>
            <w:tcW w:type="dxa" w:w="1440"/>
          </w:tcPr>
          <w:p>
            <w:r>
              <w:rPr>
                <w:rFonts w:ascii="Calibri" w:hAnsi="Calibri"/>
                <w:sz w:val="22"/>
              </w:rPr>
              <w:t>Apr 22, 2026</w:t>
            </w:r>
          </w:p>
        </w:tc>
        <w:tc>
          <w:tcPr>
            <w:tcW w:type="dxa" w:w="1440"/>
          </w:tcPr>
          <w:p>
            <w:r>
              <w:rPr>
                <w:rFonts w:ascii="Calibri" w:hAnsi="Calibri"/>
                <w:sz w:val="22"/>
              </w:rPr>
              <w:t>Routine annual compensation grant; not an open-market transaction</w:t>
            </w:r>
          </w:p>
        </w:tc>
      </w:tr>
      <w:tr>
        <w:tc>
          <w:tcPr>
            <w:tcW w:type="dxa" w:w="1440"/>
          </w:tcPr>
          <w:p>
            <w:r>
              <w:rPr>
                <w:rFonts w:ascii="Calibri" w:hAnsi="Calibri"/>
                <w:sz w:val="22"/>
              </w:rPr>
              <w:t>Melanie S. Cibik</w:t>
            </w:r>
          </w:p>
        </w:tc>
        <w:tc>
          <w:tcPr>
            <w:tcW w:type="dxa" w:w="1440"/>
          </w:tcPr>
          <w:p>
            <w:r>
              <w:rPr>
                <w:rFonts w:ascii="Calibri" w:hAnsi="Calibri"/>
                <w:sz w:val="22"/>
              </w:rPr>
              <w:t>EVP, General Counsel, CCO &amp; Secretary</w:t>
            </w:r>
          </w:p>
        </w:tc>
        <w:tc>
          <w:tcPr>
            <w:tcW w:type="dxa" w:w="1440"/>
          </w:tcPr>
          <w:p>
            <w:r>
              <w:rPr>
                <w:rFonts w:ascii="Calibri" w:hAnsi="Calibri"/>
                <w:sz w:val="22"/>
              </w:rPr>
              <w:t>Stock Option Award (Compensation)</w:t>
            </w:r>
          </w:p>
        </w:tc>
        <w:tc>
          <w:tcPr>
            <w:tcW w:type="dxa" w:w="1440"/>
          </w:tcPr>
          <w:p>
            <w:r>
              <w:rPr>
                <w:rFonts w:ascii="Calibri" w:hAnsi="Calibri"/>
                <w:sz w:val="22"/>
              </w:rPr>
              <w:t>2,138 options</w:t>
            </w:r>
          </w:p>
        </w:tc>
        <w:tc>
          <w:tcPr>
            <w:tcW w:type="dxa" w:w="1440"/>
          </w:tcPr>
          <w:p>
            <w:r>
              <w:rPr>
                <w:rFonts w:ascii="Calibri" w:hAnsi="Calibri"/>
                <w:sz w:val="22"/>
              </w:rPr>
              <w:t>Apr 22, 2026</w:t>
            </w:r>
          </w:p>
        </w:tc>
        <w:tc>
          <w:tcPr>
            <w:tcW w:type="dxa" w:w="1440"/>
          </w:tcPr>
          <w:p>
            <w:r>
              <w:rPr>
                <w:rFonts w:ascii="Calibri" w:hAnsi="Calibri"/>
                <w:sz w:val="22"/>
              </w:rPr>
              <w:t>Routine annual compensation grant; not an open-market transaction</w:t>
            </w:r>
          </w:p>
        </w:tc>
      </w:tr>
      <w:tr>
        <w:tc>
          <w:tcPr>
            <w:tcW w:type="dxa" w:w="1440"/>
          </w:tcPr>
          <w:p>
            <w:r>
              <w:rPr>
                <w:rFonts w:ascii="Calibri" w:hAnsi="Calibri"/>
                <w:sz w:val="22"/>
              </w:rPr>
              <w:t>Cynthia Y. Belak</w:t>
            </w:r>
          </w:p>
        </w:tc>
        <w:tc>
          <w:tcPr>
            <w:tcW w:type="dxa" w:w="1440"/>
          </w:tcPr>
          <w:p>
            <w:r>
              <w:rPr>
                <w:rFonts w:ascii="Calibri" w:hAnsi="Calibri"/>
                <w:sz w:val="22"/>
              </w:rPr>
              <w:t>Senior VP &amp; Controller</w:t>
            </w:r>
          </w:p>
        </w:tc>
        <w:tc>
          <w:tcPr>
            <w:tcW w:type="dxa" w:w="1440"/>
          </w:tcPr>
          <w:p>
            <w:r>
              <w:rPr>
                <w:rFonts w:ascii="Calibri" w:hAnsi="Calibri"/>
                <w:sz w:val="22"/>
              </w:rPr>
              <w:t>Stock Option Award (Compensation)</w:t>
            </w:r>
          </w:p>
        </w:tc>
        <w:tc>
          <w:tcPr>
            <w:tcW w:type="dxa" w:w="1440"/>
          </w:tcPr>
          <w:p>
            <w:r>
              <w:rPr>
                <w:rFonts w:ascii="Calibri" w:hAnsi="Calibri"/>
                <w:sz w:val="22"/>
              </w:rPr>
              <w:t>1,255 options</w:t>
            </w:r>
          </w:p>
        </w:tc>
        <w:tc>
          <w:tcPr>
            <w:tcW w:type="dxa" w:w="1440"/>
          </w:tcPr>
          <w:p>
            <w:r>
              <w:rPr>
                <w:rFonts w:ascii="Calibri" w:hAnsi="Calibri"/>
                <w:sz w:val="22"/>
              </w:rPr>
              <w:t>Apr 22, 2026</w:t>
            </w:r>
          </w:p>
        </w:tc>
        <w:tc>
          <w:tcPr>
            <w:tcW w:type="dxa" w:w="1440"/>
          </w:tcPr>
          <w:p>
            <w:r>
              <w:rPr>
                <w:rFonts w:ascii="Calibri" w:hAnsi="Calibri"/>
                <w:sz w:val="22"/>
              </w:rPr>
              <w:t>Routine annual compensation grant; not an open-market transaction</w:t>
            </w:r>
          </w:p>
        </w:tc>
      </w:tr>
      <w:tr>
        <w:tc>
          <w:tcPr>
            <w:tcW w:type="dxa" w:w="1440"/>
          </w:tcPr>
          <w:p>
            <w:r>
              <w:rPr>
                <w:rFonts w:ascii="Calibri" w:hAnsi="Calibri"/>
                <w:sz w:val="22"/>
              </w:rPr>
              <w:t>Jason VanWees</w:t>
            </w:r>
          </w:p>
        </w:tc>
        <w:tc>
          <w:tcPr>
            <w:tcW w:type="dxa" w:w="1440"/>
          </w:tcPr>
          <w:p>
            <w:r>
              <w:rPr>
                <w:rFonts w:ascii="Calibri" w:hAnsi="Calibri"/>
                <w:sz w:val="22"/>
              </w:rPr>
              <w:t>Vice Chairman</w:t>
            </w:r>
          </w:p>
        </w:tc>
        <w:tc>
          <w:tcPr>
            <w:tcW w:type="dxa" w:w="1440"/>
          </w:tcPr>
          <w:p>
            <w:r>
              <w:rPr>
                <w:rFonts w:ascii="Calibri" w:hAnsi="Calibri"/>
                <w:sz w:val="22"/>
              </w:rPr>
              <w:t>Stock Option Award + RSU Grant (Compensation); RSU Vesting (tax withholding)</w:t>
            </w:r>
          </w:p>
        </w:tc>
        <w:tc>
          <w:tcPr>
            <w:tcW w:type="dxa" w:w="1440"/>
          </w:tcPr>
          <w:p>
            <w:r>
              <w:rPr>
                <w:rFonts w:ascii="Calibri" w:hAnsi="Calibri"/>
                <w:sz w:val="22"/>
              </w:rPr>
              <w:t>2,415 options; 272 RSUs granted; 126 RSUs vested (65 shares withheld for tax)</w:t>
            </w:r>
          </w:p>
        </w:tc>
        <w:tc>
          <w:tcPr>
            <w:tcW w:type="dxa" w:w="1440"/>
          </w:tcPr>
          <w:p>
            <w:r>
              <w:rPr>
                <w:rFonts w:ascii="Calibri" w:hAnsi="Calibri"/>
                <w:sz w:val="22"/>
              </w:rPr>
              <w:t>Apr 22, 2026</w:t>
            </w:r>
          </w:p>
        </w:tc>
        <w:tc>
          <w:tcPr>
            <w:tcW w:type="dxa" w:w="1440"/>
          </w:tcPr>
          <w:p>
            <w:r>
              <w:rPr>
                <w:rFonts w:ascii="Calibri" w:hAnsi="Calibri"/>
                <w:sz w:val="22"/>
              </w:rPr>
              <w:t>Routine compensation grant + RSU vesting; 65-share withholding is tax obligation, not discretionary sale</w:t>
            </w:r>
          </w:p>
        </w:tc>
      </w:tr>
      <w:tr>
        <w:tc>
          <w:tcPr>
            <w:tcW w:type="dxa" w:w="1440"/>
          </w:tcPr>
          <w:p>
            <w:r>
              <w:rPr>
                <w:rFonts w:ascii="Calibri" w:hAnsi="Calibri"/>
                <w:sz w:val="22"/>
              </w:rPr>
              <w:t>Multiple Directors (8 directors)</w:t>
            </w:r>
          </w:p>
        </w:tc>
        <w:tc>
          <w:tcPr>
            <w:tcW w:type="dxa" w:w="1440"/>
          </w:tcPr>
          <w:p>
            <w:r>
              <w:rPr>
                <w:rFonts w:ascii="Calibri" w:hAnsi="Calibri"/>
                <w:sz w:val="22"/>
              </w:rPr>
              <w:t>Board of Directors</w:t>
            </w:r>
          </w:p>
        </w:tc>
        <w:tc>
          <w:tcPr>
            <w:tcW w:type="dxa" w:w="1440"/>
          </w:tcPr>
          <w:p>
            <w:r>
              <w:rPr>
                <w:rFonts w:ascii="Calibri" w:hAnsi="Calibri"/>
                <w:sz w:val="22"/>
              </w:rPr>
              <w:t>Common Stock Award (Compensation)</w:t>
            </w:r>
          </w:p>
        </w:tc>
        <w:tc>
          <w:tcPr>
            <w:tcW w:type="dxa" w:w="1440"/>
          </w:tcPr>
          <w:p>
            <w:r>
              <w:rPr>
                <w:rFonts w:ascii="Calibri" w:hAnsi="Calibri"/>
                <w:sz w:val="22"/>
              </w:rPr>
              <w:t>319 shares each (8 directors)</w:t>
            </w:r>
          </w:p>
        </w:tc>
        <w:tc>
          <w:tcPr>
            <w:tcW w:type="dxa" w:w="1440"/>
          </w:tcPr>
          <w:p>
            <w:r>
              <w:rPr>
                <w:rFonts w:ascii="Calibri" w:hAnsi="Calibri"/>
                <w:sz w:val="22"/>
              </w:rPr>
              <w:t>Apr 22–23, 2026</w:t>
            </w:r>
          </w:p>
        </w:tc>
        <w:tc>
          <w:tcPr>
            <w:tcW w:type="dxa" w:w="1440"/>
          </w:tcPr>
          <w:p>
            <w:r>
              <w:rPr>
                <w:rFonts w:ascii="Calibri" w:hAnsi="Calibri"/>
                <w:sz w:val="22"/>
              </w:rPr>
              <w:t>Routine annual director compensation grants; not open-market transactions</w:t>
            </w:r>
          </w:p>
        </w:tc>
      </w:tr>
    </w:tbl>
    <w:p>
      <w:r>
        <w:rPr>
          <w:rFonts w:ascii="Calibri" w:hAnsi="Calibri"/>
          <w:i/>
          <w:color w:val="525866"/>
          <w:sz w:val="22"/>
        </w:rPr>
        <w:t xml:space="preserve">Source: Insider Transaction Data (SEC Form 4 filings). </w:t>
      </w:r>
      <w:r>
        <w:rPr>
          <w:rFonts w:ascii="Calibri" w:hAnsi="Calibri"/>
          <w:i/>
          <w:color w:val="525866"/>
          <w:sz w:val="22"/>
        </w:rPr>
        <w:t>All transactions on April 22–23, 2026 are compensation-related awards (transaction codes A = Award, F = Tax Withholding, M = Option Exercise). There are no open-market purchases (code P) or discretionary sales (code S) in the period since last earnings. The absence of any insider selling following a record quarter and a beat-and-raise is a mild positive signal, though the lack of open-market buying means insiders are not actively signaling undervaluation.</w:t>
      </w:r>
    </w:p>
    <w:p>
      <w:r>
        <w:rPr>
          <w:rFonts w:ascii="Calibri" w:hAnsi="Calibri"/>
          <w:b/>
          <w:i/>
          <w:color w:val="525866"/>
          <w:sz w:val="22"/>
        </w:rPr>
        <w:t>— End of Report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