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Teledyne Technologies (TDY)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Teledyne Technologies Incorporated</w:t>
            </w:r>
          </w:p>
        </w:tc>
      </w:tr>
      <w:tr>
        <w:tc>
          <w:tcPr>
            <w:tcW w:type="dxa" w:w="4320"/>
          </w:tcPr>
          <w:p>
            <w:r>
              <w:rPr>
                <w:rFonts w:ascii="Calibri" w:hAnsi="Calibri"/>
                <w:b/>
                <w:sz w:val="22"/>
              </w:rPr>
              <w:t>Ticker</w:t>
            </w:r>
          </w:p>
        </w:tc>
        <w:tc>
          <w:tcPr>
            <w:tcW w:type="dxa" w:w="4320"/>
          </w:tcPr>
          <w:p>
            <w:r>
              <w:rPr>
                <w:rFonts w:ascii="Calibri" w:hAnsi="Calibri"/>
                <w:sz w:val="22"/>
              </w:rPr>
              <w:t>TDY (NYSE)</w:t>
            </w:r>
          </w:p>
        </w:tc>
      </w:tr>
      <w:tr>
        <w:tc>
          <w:tcPr>
            <w:tcW w:type="dxa" w:w="4320"/>
          </w:tcPr>
          <w:p>
            <w:r>
              <w:rPr>
                <w:rFonts w:ascii="Calibri" w:hAnsi="Calibri"/>
                <w:b/>
                <w:sz w:val="22"/>
              </w:rPr>
              <w:t>Upcoming Earnings Date</w:t>
            </w:r>
          </w:p>
        </w:tc>
        <w:tc>
          <w:tcPr>
            <w:tcW w:type="dxa" w:w="4320"/>
          </w:tcPr>
          <w:p>
            <w:r>
              <w:rPr>
                <w:rFonts w:ascii="Calibri" w:hAnsi="Calibri"/>
                <w:sz w:val="22"/>
              </w:rPr>
              <w:t>July 22, 2026 — Q2 2026 Earnings Call (11:00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Preparation Date</w:t>
            </w:r>
          </w:p>
        </w:tc>
        <w:tc>
          <w:tcPr>
            <w:tcW w:type="dxa" w:w="4320"/>
          </w:tcPr>
          <w:p>
            <w:r>
              <w:rPr>
                <w:rFonts w:ascii="Calibri" w:hAnsi="Calibri"/>
                <w:sz w:val="22"/>
              </w:rPr>
              <w:t>July 21, 2026</w:t>
            </w:r>
          </w:p>
        </w:tc>
      </w:tr>
      <w:tr>
        <w:tc>
          <w:tcPr>
            <w:tcW w:type="dxa" w:w="4320"/>
          </w:tcPr>
          <w:p>
            <w:r>
              <w:rPr>
                <w:rFonts w:ascii="Calibri" w:hAnsi="Calibri"/>
                <w:b/>
                <w:sz w:val="22"/>
              </w:rPr>
              <w:t>Last Earnings</w:t>
            </w:r>
          </w:p>
        </w:tc>
        <w:tc>
          <w:tcPr>
            <w:tcW w:type="dxa" w:w="4320"/>
          </w:tcPr>
          <w:p>
            <w:r>
              <w:rPr>
                <w:rFonts w:ascii="Calibri" w:hAnsi="Calibri"/>
                <w:sz w:val="22"/>
              </w:rPr>
              <w:t>April 22, 2026 (Q1 2026 — Record quarter; beat on revenue and non-GAAP EPS)</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Setup favors a beat — consensus sits modestly below the guidance midpoint, estimate revisions have been stable-to-slightly-higher since the Q1 print, and the biggest swing factor is whether Digital Imaging organic growth sustains its Q1 momentum into Q2.</w:t>
      </w:r>
    </w:p>
    <w:p>
      <w:r>
        <w:rPr>
          <w:rFonts w:ascii="Calibri" w:hAnsi="Calibri"/>
          <w:color w:val="525866"/>
          <w:sz w:val="22"/>
        </w:rPr>
        <w:t xml:space="preserve">Heading into Q2 2026, the bar for TDY looks achievable: consensus non-GAAP EPS of $5.79 sits just inside the guidance range of $5.70–$5.80, and revenue consensus of ~$1.580B is essentially in line with the guidance midpoint, leaving limited room for a large upside surprise but also a well-anchored floor. Management's posture on the Q1 call was notably more confident than prior quarters — raising full-year guidance at both ends, calling out the Iran conflict and European defense buildout as incremental demand catalysts, and flagging that government is actively investing in Teledyne's capacity in certain undisclosed areas — a tone shift that suggests management has better-than-usual visibility into the back half. Estimate revisions since the April 22 print have been essentially flat (Q2 EPS moved from $5.787 to $5.793, revenue from $1.578B to $1.580B), indicating the Street has largely digested the Q1 beat and guidance raise without chasing numbers higher, which keeps the bar from becoming stretched. </w:t>
      </w:r>
      <w:r>
        <w:rPr>
          <w:rFonts w:ascii="Calibri" w:hAnsi="Calibri"/>
          <w:color w:val="525866"/>
          <w:sz w:val="22"/>
        </w:rPr>
        <w:t>The stock has gained ~4.5% over the past month and ~11% over six months, with the move driven roughly equally by earnings growth and modest multiple expansion (NTM P/E ~24.8x vs. ~24.0x six months ago)</w:t>
      </w:r>
      <w:r>
        <w:rPr>
          <w:rFonts w:ascii="Calibri" w:hAnsi="Calibri"/>
          <w:color w:val="525866"/>
          <w:sz w:val="22"/>
        </w:rPr>
        <w:t>, suggesting the market is pricing in continued execution but not a blowout. The key wildcard is the pace of Digital Imaging order conversion — the segment posted a book-to-bill of 1.38 in Q1 and management cited accelerating demand for infrared detectors and unmanned systems; any commentary suggesting that backlog is converting faster than expected, or that defense order acceleration is pulling forward into Q2, could drive a meaningful upside reaction.</w:t>
      </w:r>
    </w:p>
    <w:p>
      <w:r>
        <w:rPr>
          <w:rFonts w:ascii="Calibri" w:hAnsi="Calibri"/>
          <w:b/>
          <w:color w:val="525866"/>
          <w:sz w:val="22"/>
        </w:rPr>
        <w:t xml:space="preserve">Bar: </w:t>
      </w:r>
      <w:r>
        <w:rPr>
          <w:rFonts w:ascii="Calibri" w:hAnsi="Calibri"/>
          <w:color w:val="525866"/>
          <w:sz w:val="22"/>
        </w:rPr>
        <w:t>Consensus non-GAAP EPS of $5.79 sits at the high end of the $5.70–$5.80 guidance range, making it a fair-to-slightly-high bar on EPS but a more achievable bar on revenue ($1.580B consensus vs. guidance midpoint). TDY has beaten non-GAAP EPS consensus in each of the last eight quarters, often by a meaningful margin.</w:t>
      </w:r>
    </w:p>
    <w:p>
      <w:r>
        <w:rPr>
          <w:rFonts w:ascii="Calibri" w:hAnsi="Calibri"/>
          <w:b/>
          <w:color w:val="525866"/>
          <w:sz w:val="22"/>
        </w:rPr>
        <w:t xml:space="preserve">Guidance / Tone: </w:t>
      </w:r>
      <w:r>
        <w:rPr>
          <w:rFonts w:ascii="Calibri" w:hAnsi="Calibri"/>
          <w:color w:val="525866"/>
          <w:sz w:val="22"/>
        </w:rPr>
        <w:t>Management raised full-year 2026 non-GAAP EPS guidance to $23.85–$24.15 (from $23.45–$23.85) on the Q1 call, and provided Q2 non-GAAP EPS guidance of $5.70–$5.80. Tone was more confident than prior quarters, with explicit references to defense demand acceleration and capacity investment — an unusual posture for this point in the year.</w:t>
      </w:r>
    </w:p>
    <w:p>
      <w:r>
        <w:rPr>
          <w:rFonts w:ascii="Calibri" w:hAnsi="Calibri"/>
          <w:b/>
          <w:color w:val="525866"/>
          <w:sz w:val="22"/>
        </w:rPr>
        <w:t xml:space="preserve">Estimate Trajectory: </w:t>
      </w:r>
      <w:r>
        <w:rPr>
          <w:rFonts w:ascii="Calibri" w:hAnsi="Calibri"/>
          <w:color w:val="525866"/>
          <w:sz w:val="22"/>
        </w:rPr>
        <w:t>Revisions have been stable since the Q1 print — Q2 EPS consensus moved from $5.787 to $5.793 and FY2026 EPS from $24.181 to $24.195. The lack of upward revision despite a strong Q1 beat and guidance raise suggests the Street is being conservative, which is a mild cushion heading into the print.</w:t>
      </w:r>
    </w:p>
    <w:p>
      <w:r>
        <w:rPr>
          <w:rFonts w:ascii="Calibri" w:hAnsi="Calibri"/>
          <w:b/>
          <w:color w:val="525866"/>
          <w:sz w:val="22"/>
        </w:rPr>
        <w:t xml:space="preserve">Stock Setup: </w:t>
      </w:r>
      <w:r>
        <w:rPr>
          <w:rFonts w:ascii="Calibri" w:hAnsi="Calibri"/>
          <w:color w:val="525866"/>
          <w:sz w:val="22"/>
        </w:rPr>
        <w:t>TDY trades at ~24.8x NTM P/E and ~18.6x NTM EV/EBITDA. The 12-month price gain of ~14.9% has been driven primarily by earnings growth with minimal multiple expansion (-0.6% on EV/EBITDA), suggesting the move is fundamentally supported rather than sentiment-driven. The stock is not pricing in a blowout.</w:t>
      </w:r>
    </w:p>
    <w:p>
      <w:r>
        <w:rPr>
          <w:rFonts w:ascii="Calibri" w:hAnsi="Calibri"/>
          <w:b/>
          <w:color w:val="525866"/>
          <w:sz w:val="22"/>
        </w:rPr>
        <w:t xml:space="preserve">Wildcard: </w:t>
      </w:r>
      <w:r>
        <w:rPr>
          <w:rFonts w:ascii="Calibri" w:hAnsi="Calibri"/>
          <w:color w:val="525866"/>
          <w:sz w:val="22"/>
        </w:rPr>
        <w:t>The pace of Digital Imaging backlog conversion and any update on the undisclosed government capacity investment program. A book-to-bill above 1.2 in Q2 or commentary on accelerating defense order flow (drones, counter-drone, space) could be the single biggest positive catalyst. Conversely, any softness in short-cycle commercial businesses (marine, environmental, test &amp; measurement) or FX headwinds from conservative second-half assumptions could temper the reaction.</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sits at the high end of guidance on EPS and in-line on revenue, making the bar fair but not easy. </w:t>
      </w:r>
      <w:r>
        <w:rPr>
          <w:rFonts w:ascii="Calibri" w:hAnsi="Calibri"/>
          <w:b/>
          <w:color w:val="525866"/>
          <w:sz w:val="22"/>
        </w:rPr>
        <w:t>Digital Imaging organic growth is the bigger swing factor</w:t>
      </w:r>
      <w:r>
        <w:rPr>
          <w:rFonts w:ascii="Calibri" w:hAnsi="Calibri"/>
          <w:color w:val="525866"/>
          <w:sz w:val="22"/>
        </w:rPr>
        <w:t xml:space="preserve"> — the segment drove Q1 outperformance and any acceleration or deceleration will set the tone for the full-year narrative.</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Revenue ($M)</w:t>
            </w:r>
          </w:p>
        </w:tc>
        <w:tc>
          <w:tcPr>
            <w:tcW w:type="dxa" w:w="1234"/>
          </w:tcPr>
          <w:p>
            <w:r>
              <w:rPr>
                <w:rFonts w:ascii="Calibri" w:hAnsi="Calibri"/>
                <w:sz w:val="22"/>
              </w:rPr>
              <w:t>$1,560.1M</w:t>
            </w:r>
          </w:p>
        </w:tc>
        <w:tc>
          <w:tcPr>
            <w:tcW w:type="dxa" w:w="1234"/>
          </w:tcPr>
          <w:p>
            <w:r>
              <w:rPr>
                <w:rFonts w:ascii="Calibri" w:hAnsi="Calibri"/>
                <w:sz w:val="22"/>
              </w:rPr>
              <w:t>$1,513.7M</w:t>
            </w:r>
          </w:p>
        </w:tc>
        <w:tc>
          <w:tcPr>
            <w:tcW w:type="dxa" w:w="1234"/>
          </w:tcPr>
          <w:p>
            <w:r>
              <w:rPr>
                <w:rFonts w:ascii="Calibri" w:hAnsi="Calibri"/>
                <w:sz w:val="22"/>
              </w:rPr>
              <w:t>$1,579.5M</w:t>
            </w:r>
          </w:p>
        </w:tc>
        <w:tc>
          <w:tcPr>
            <w:tcW w:type="dxa" w:w="1234"/>
          </w:tcPr>
          <w:p>
            <w:r>
              <w:rPr>
                <w:rFonts w:ascii="Calibri" w:hAnsi="Calibri"/>
                <w:sz w:val="22"/>
              </w:rPr>
              <w:t>+4.3% YoY</w:t>
            </w:r>
          </w:p>
        </w:tc>
        <w:tc>
          <w:tcPr>
            <w:tcW w:type="dxa" w:w="1234"/>
          </w:tcPr>
          <w:p>
            <w:r>
              <w:rPr>
                <w:rFonts w:ascii="Calibri" w:hAnsi="Calibri"/>
                <w:sz w:val="22"/>
              </w:rPr>
              <w:t>N/A — not provided</w:t>
            </w:r>
          </w:p>
        </w:tc>
        <w:tc>
          <w:tcPr>
            <w:tcW w:type="dxa" w:w="1234"/>
          </w:tcPr>
          <w:p>
            <w:r>
              <w:rPr>
                <w:rFonts w:ascii="Calibri" w:hAnsi="Calibri"/>
                <w:sz w:val="22"/>
              </w:rPr>
              <w:t>N/A</w:t>
            </w:r>
          </w:p>
        </w:tc>
      </w:tr>
      <w:tr>
        <w:tc>
          <w:tcPr>
            <w:tcW w:type="dxa" w:w="1234"/>
          </w:tcPr>
          <w:p>
            <w:r>
              <w:rPr>
                <w:rFonts w:ascii="Calibri" w:hAnsi="Calibri"/>
                <w:sz w:val="22"/>
              </w:rPr>
              <w:t>Non-GAAP Diluted EPS ($)</w:t>
            </w:r>
          </w:p>
        </w:tc>
        <w:tc>
          <w:tcPr>
            <w:tcW w:type="dxa" w:w="1234"/>
          </w:tcPr>
          <w:p>
            <w:r>
              <w:rPr>
                <w:rFonts w:ascii="Calibri" w:hAnsi="Calibri"/>
                <w:sz w:val="22"/>
              </w:rPr>
              <w:t>$5.80</w:t>
            </w:r>
          </w:p>
        </w:tc>
        <w:tc>
          <w:tcPr>
            <w:tcW w:type="dxa" w:w="1234"/>
          </w:tcPr>
          <w:p>
            <w:r>
              <w:rPr>
                <w:rFonts w:ascii="Calibri" w:hAnsi="Calibri"/>
                <w:sz w:val="22"/>
              </w:rPr>
              <w:t>$5.20</w:t>
            </w:r>
          </w:p>
        </w:tc>
        <w:tc>
          <w:tcPr>
            <w:tcW w:type="dxa" w:w="1234"/>
          </w:tcPr>
          <w:p>
            <w:r>
              <w:rPr>
                <w:rFonts w:ascii="Calibri" w:hAnsi="Calibri"/>
                <w:sz w:val="22"/>
              </w:rPr>
              <w:t>$5.79</w:t>
            </w:r>
          </w:p>
        </w:tc>
        <w:tc>
          <w:tcPr>
            <w:tcW w:type="dxa" w:w="1234"/>
          </w:tcPr>
          <w:p>
            <w:r>
              <w:rPr>
                <w:rFonts w:ascii="Calibri" w:hAnsi="Calibri"/>
                <w:sz w:val="22"/>
              </w:rPr>
              <w:t>+11.3% YoY</w:t>
            </w:r>
          </w:p>
        </w:tc>
        <w:tc>
          <w:tcPr>
            <w:tcW w:type="dxa" w:w="1234"/>
          </w:tcPr>
          <w:p>
            <w:r>
              <w:rPr>
                <w:rFonts w:ascii="Calibri" w:hAnsi="Calibri"/>
                <w:sz w:val="22"/>
              </w:rPr>
              <w:t>$5.70–$5.80</w:t>
            </w:r>
          </w:p>
        </w:tc>
        <w:tc>
          <w:tcPr>
            <w:tcW w:type="dxa" w:w="1234"/>
          </w:tcPr>
          <w:p>
            <w:r>
              <w:rPr>
                <w:rFonts w:ascii="Calibri" w:hAnsi="Calibri"/>
                <w:sz w:val="22"/>
              </w:rPr>
              <w:t>+0.2% vs. $5.75 midpoint</w:t>
            </w:r>
          </w:p>
        </w:tc>
      </w:tr>
      <w:tr>
        <w:tc>
          <w:tcPr>
            <w:tcW w:type="dxa" w:w="1234"/>
          </w:tcPr>
          <w:p>
            <w:r>
              <w:rPr>
                <w:rFonts w:ascii="Calibri" w:hAnsi="Calibri"/>
                <w:sz w:val="22"/>
              </w:rPr>
              <w:t>Digital Imaging Op. Margin — Operating (%)</w:t>
            </w:r>
          </w:p>
        </w:tc>
        <w:tc>
          <w:tcPr>
            <w:tcW w:type="dxa" w:w="1234"/>
          </w:tcPr>
          <w:p>
            <w:r>
              <w:rPr>
                <w:rFonts w:ascii="Calibri" w:hAnsi="Calibri"/>
                <w:sz w:val="22"/>
              </w:rPr>
              <w:t>23.2%</w:t>
            </w:r>
          </w:p>
        </w:tc>
        <w:tc>
          <w:tcPr>
            <w:tcW w:type="dxa" w:w="1234"/>
          </w:tcPr>
          <w:p>
            <w:r>
              <w:rPr>
                <w:rFonts w:ascii="Calibri" w:hAnsi="Calibri"/>
                <w:sz w:val="22"/>
              </w:rPr>
              <w:t>21.5%</w:t>
            </w:r>
          </w:p>
        </w:tc>
        <w:tc>
          <w:tcPr>
            <w:tcW w:type="dxa" w:w="1234"/>
          </w:tcPr>
          <w:p>
            <w:r>
              <w:rPr>
                <w:rFonts w:ascii="Calibri" w:hAnsi="Calibri"/>
                <w:sz w:val="22"/>
              </w:rPr>
              <w:t>23.1%</w:t>
            </w:r>
          </w:p>
        </w:tc>
        <w:tc>
          <w:tcPr>
            <w:tcW w:type="dxa" w:w="1234"/>
          </w:tcPr>
          <w:p>
            <w:r>
              <w:rPr>
                <w:rFonts w:ascii="Calibri" w:hAnsi="Calibri"/>
                <w:sz w:val="22"/>
              </w:rPr>
              <w:t>+160 bps YoY</w:t>
            </w:r>
          </w:p>
        </w:tc>
        <w:tc>
          <w:tcPr>
            <w:tcW w:type="dxa" w:w="1234"/>
          </w:tcPr>
          <w:p>
            <w:r>
              <w:rPr>
                <w:rFonts w:ascii="Calibri" w:hAnsi="Calibri"/>
                <w:sz w:val="22"/>
              </w:rPr>
              <w:t>~23%+ (FY target &gt;100 bps expansion)</w:t>
            </w:r>
          </w:p>
        </w:tc>
        <w:tc>
          <w:tcPr>
            <w:tcW w:type="dxa" w:w="1234"/>
          </w:tcPr>
          <w:p>
            <w:r>
              <w:rPr>
                <w:rFonts w:ascii="Calibri" w:hAnsi="Calibri"/>
                <w:sz w:val="22"/>
              </w:rPr>
              <w:t>~In-line</w:t>
            </w:r>
          </w:p>
        </w:tc>
      </w:tr>
      <w:tr>
        <w:tc>
          <w:tcPr>
            <w:tcW w:type="dxa" w:w="1234"/>
          </w:tcPr>
          <w:p>
            <w:r>
              <w:rPr>
                <w:rFonts w:ascii="Calibri" w:hAnsi="Calibri"/>
                <w:sz w:val="22"/>
              </w:rPr>
              <w:t>Organic Revenue Growth (%)</w:t>
            </w:r>
          </w:p>
        </w:tc>
        <w:tc>
          <w:tcPr>
            <w:tcW w:type="dxa" w:w="1234"/>
          </w:tcPr>
          <w:p>
            <w:r>
              <w:rPr>
                <w:rFonts w:ascii="Calibri" w:hAnsi="Calibri"/>
                <w:sz w:val="22"/>
              </w:rPr>
              <w:t>+5.3%</w:t>
            </w:r>
          </w:p>
        </w:tc>
        <w:tc>
          <w:tcPr>
            <w:tcW w:type="dxa" w:w="1234"/>
          </w:tcPr>
          <w:p>
            <w:r>
              <w:rPr>
                <w:rFonts w:ascii="Calibri" w:hAnsi="Calibri"/>
                <w:sz w:val="22"/>
              </w:rPr>
              <w:t>+5.1%</w:t>
            </w:r>
          </w:p>
        </w:tc>
        <w:tc>
          <w:tcPr>
            <w:tcW w:type="dxa" w:w="1234"/>
          </w:tcPr>
          <w:p>
            <w:r>
              <w:rPr>
                <w:rFonts w:ascii="Calibri" w:hAnsi="Calibri"/>
                <w:sz w:val="22"/>
              </w:rPr>
              <w:t>+4.0%</w:t>
            </w:r>
          </w:p>
        </w:tc>
        <w:tc>
          <w:tcPr>
            <w:tcW w:type="dxa" w:w="1234"/>
          </w:tcPr>
          <w:p>
            <w:r>
              <w:rPr>
                <w:rFonts w:ascii="Calibri" w:hAnsi="Calibri"/>
                <w:sz w:val="22"/>
              </w:rPr>
              <w:t>~Stable</w:t>
            </w:r>
          </w:p>
        </w:tc>
        <w:tc>
          <w:tcPr>
            <w:tcW w:type="dxa" w:w="1234"/>
          </w:tcPr>
          <w:p>
            <w:r>
              <w:rPr>
                <w:rFonts w:ascii="Calibri" w:hAnsi="Calibri"/>
                <w:sz w:val="22"/>
              </w:rPr>
              <w:t>~3.6% FY2026 guidance</w:t>
            </w:r>
          </w:p>
        </w:tc>
        <w:tc>
          <w:tcPr>
            <w:tcW w:type="dxa" w:w="1234"/>
          </w:tcPr>
          <w:p>
            <w:r>
              <w:rPr>
                <w:rFonts w:ascii="Calibri" w:hAnsi="Calibri"/>
                <w:sz w:val="22"/>
              </w:rPr>
              <w:t>+40 bps above FY guide</w:t>
            </w:r>
          </w:p>
        </w:tc>
      </w:tr>
      <w:tr>
        <w:tc>
          <w:tcPr>
            <w:tcW w:type="dxa" w:w="1234"/>
          </w:tcPr>
          <w:p>
            <w:r>
              <w:rPr>
                <w:rFonts w:ascii="Calibri" w:hAnsi="Calibri"/>
                <w:sz w:val="22"/>
              </w:rPr>
              <w:t>Free Cash Flow ($M)</w:t>
            </w:r>
          </w:p>
        </w:tc>
        <w:tc>
          <w:tcPr>
            <w:tcW w:type="dxa" w:w="1234"/>
          </w:tcPr>
          <w:p>
            <w:r>
              <w:rPr>
                <w:rFonts w:ascii="Calibri" w:hAnsi="Calibri"/>
                <w:sz w:val="22"/>
              </w:rPr>
              <w:t>$204.3M</w:t>
            </w:r>
          </w:p>
        </w:tc>
        <w:tc>
          <w:tcPr>
            <w:tcW w:type="dxa" w:w="1234"/>
          </w:tcPr>
          <w:p>
            <w:r>
              <w:rPr>
                <w:rFonts w:ascii="Calibri" w:hAnsi="Calibri"/>
                <w:sz w:val="22"/>
              </w:rPr>
              <w:t>$196.3M</w:t>
            </w:r>
          </w:p>
        </w:tc>
        <w:tc>
          <w:tcPr>
            <w:tcW w:type="dxa" w:w="1234"/>
          </w:tcPr>
          <w:p>
            <w:r>
              <w:rPr>
                <w:rFonts w:ascii="Calibri" w:hAnsi="Calibri"/>
                <w:sz w:val="22"/>
              </w:rPr>
              <w:t>$343.6M</w:t>
            </w:r>
          </w:p>
        </w:tc>
        <w:tc>
          <w:tcPr>
            <w:tcW w:type="dxa" w:w="1234"/>
          </w:tcPr>
          <w:p>
            <w:r>
              <w:rPr>
                <w:rFonts w:ascii="Calibri" w:hAnsi="Calibri"/>
                <w:sz w:val="22"/>
              </w:rPr>
              <w:t>+75.0% YoY</w:t>
            </w:r>
          </w:p>
        </w:tc>
        <w:tc>
          <w:tcPr>
            <w:tcW w:type="dxa" w:w="1234"/>
          </w:tcPr>
          <w:p>
            <w:r>
              <w:rPr>
                <w:rFonts w:ascii="Calibri" w:hAnsi="Calibri"/>
                <w:sz w:val="22"/>
              </w:rPr>
              <w:t>~$1.16B FY2026</w:t>
            </w:r>
          </w:p>
        </w:tc>
        <w:tc>
          <w:tcPr>
            <w:tcW w:type="dxa" w:w="1234"/>
          </w:tcPr>
          <w:p>
            <w:r>
              <w:rPr>
                <w:rFonts w:ascii="Calibri" w:hAnsi="Calibri"/>
                <w:sz w:val="22"/>
              </w:rPr>
              <w:t>N/A (quarterly timing)</w:t>
            </w:r>
          </w:p>
        </w:tc>
      </w:tr>
    </w:tbl>
    <w:p>
      <w:r>
        <w:rPr>
          <w:rFonts w:ascii="Calibri" w:hAnsi="Calibri"/>
          <w:b/>
          <w:color w:val="525866"/>
          <w:sz w:val="22"/>
        </w:rPr>
        <w:t xml:space="preserve">Sources: </w:t>
      </w:r>
      <w:r>
        <w:rPr>
          <w:rFonts w:ascii="Calibri" w:hAnsi="Calibri"/>
          <w:color w:val="525866"/>
          <w:sz w:val="22"/>
        </w:rPr>
        <w:t>Revenue, Non-GAAP EPS, Digital Imaging Operating Margin, Organic Growth, Free Cash Flow — Visible Alpha Consensus and Actuals Data (https://insights.visiblealpha.com/mex/TDY_US/NMV/IS; /SG; /CF; /RV). Q2 2026 guidance from TDY Q1 2026 Earnings Release (April 22, 2026).</w:t>
      </w:r>
    </w:p>
    <w:p>
      <w:pPr>
        <w:pStyle w:val="Heading2"/>
      </w:pPr>
      <w:r>
        <w:rPr>
          <w:rFonts w:ascii="Calibri" w:hAnsi="Calibri"/>
          <w:b/>
          <w:color w:val="3B4259"/>
          <w:sz w:val="28"/>
        </w:rPr>
        <w:t>Table 2 — Beat / Miss History (Last 8 Quarters) — Non-GAAP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$4.58</w:t>
            </w:r>
          </w:p>
        </w:tc>
        <w:tc>
          <w:tcPr>
            <w:tcW w:type="dxa" w:w="1728"/>
          </w:tcPr>
          <w:p>
            <w:r>
              <w:rPr>
                <w:rFonts w:ascii="Calibri" w:hAnsi="Calibri"/>
                <w:sz w:val="22"/>
              </w:rPr>
              <w:t>$4.50</w:t>
            </w:r>
          </w:p>
        </w:tc>
        <w:tc>
          <w:tcPr>
            <w:tcW w:type="dxa" w:w="1728"/>
          </w:tcPr>
          <w:p>
            <w:r>
              <w:rPr>
                <w:rFonts w:ascii="Calibri" w:hAnsi="Calibri"/>
                <w:sz w:val="22"/>
              </w:rPr>
              <w:t>+1.7%</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$5.10</w:t>
            </w:r>
          </w:p>
        </w:tc>
        <w:tc>
          <w:tcPr>
            <w:tcW w:type="dxa" w:w="1728"/>
          </w:tcPr>
          <w:p>
            <w:r>
              <w:rPr>
                <w:rFonts w:ascii="Calibri" w:hAnsi="Calibri"/>
                <w:sz w:val="22"/>
              </w:rPr>
              <w:t>$4.97</w:t>
            </w:r>
          </w:p>
        </w:tc>
        <w:tc>
          <w:tcPr>
            <w:tcW w:type="dxa" w:w="1728"/>
          </w:tcPr>
          <w:p>
            <w:r>
              <w:rPr>
                <w:rFonts w:ascii="Calibri" w:hAnsi="Calibri"/>
                <w:sz w:val="22"/>
              </w:rPr>
              <w:t>+2.6%</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$5.52</w:t>
            </w:r>
          </w:p>
        </w:tc>
        <w:tc>
          <w:tcPr>
            <w:tcW w:type="dxa" w:w="1728"/>
          </w:tcPr>
          <w:p>
            <w:r>
              <w:rPr>
                <w:rFonts w:ascii="Calibri" w:hAnsi="Calibri"/>
                <w:sz w:val="22"/>
              </w:rPr>
              <w:t>$5.22</w:t>
            </w:r>
          </w:p>
        </w:tc>
        <w:tc>
          <w:tcPr>
            <w:tcW w:type="dxa" w:w="1728"/>
          </w:tcPr>
          <w:p>
            <w:r>
              <w:rPr>
                <w:rFonts w:ascii="Calibri" w:hAnsi="Calibri"/>
                <w:sz w:val="22"/>
              </w:rPr>
              <w:t>+5.7%</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$4.95</w:t>
            </w:r>
          </w:p>
        </w:tc>
        <w:tc>
          <w:tcPr>
            <w:tcW w:type="dxa" w:w="1728"/>
          </w:tcPr>
          <w:p>
            <w:r>
              <w:rPr>
                <w:rFonts w:ascii="Calibri" w:hAnsi="Calibri"/>
                <w:sz w:val="22"/>
              </w:rPr>
              <w:t>$4.93</w:t>
            </w:r>
          </w:p>
        </w:tc>
        <w:tc>
          <w:tcPr>
            <w:tcW w:type="dxa" w:w="1728"/>
          </w:tcPr>
          <w:p>
            <w:r>
              <w:rPr>
                <w:rFonts w:ascii="Calibri" w:hAnsi="Calibri"/>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$5.20</w:t>
            </w:r>
          </w:p>
        </w:tc>
        <w:tc>
          <w:tcPr>
            <w:tcW w:type="dxa" w:w="1728"/>
          </w:tcPr>
          <w:p>
            <w:r>
              <w:rPr>
                <w:rFonts w:ascii="Calibri" w:hAnsi="Calibri"/>
                <w:sz w:val="22"/>
              </w:rPr>
              <w:t>$5.05</w:t>
            </w:r>
          </w:p>
        </w:tc>
        <w:tc>
          <w:tcPr>
            <w:tcW w:type="dxa" w:w="1728"/>
          </w:tcPr>
          <w:p>
            <w:r>
              <w:rPr>
                <w:rFonts w:ascii="Calibri" w:hAnsi="Calibri"/>
                <w:sz w:val="22"/>
              </w:rPr>
              <w:t>+2.9%</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$5.57</w:t>
            </w:r>
          </w:p>
        </w:tc>
        <w:tc>
          <w:tcPr>
            <w:tcW w:type="dxa" w:w="1728"/>
          </w:tcPr>
          <w:p>
            <w:r>
              <w:rPr>
                <w:rFonts w:ascii="Calibri" w:hAnsi="Calibri"/>
                <w:sz w:val="22"/>
              </w:rPr>
              <w:t>$5.47</w:t>
            </w:r>
          </w:p>
        </w:tc>
        <w:tc>
          <w:tcPr>
            <w:tcW w:type="dxa" w:w="1728"/>
          </w:tcPr>
          <w:p>
            <w:r>
              <w:rPr>
                <w:rFonts w:ascii="Calibri" w:hAnsi="Calibri"/>
                <w:sz w:val="22"/>
              </w:rPr>
              <w:t>+1.8%</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$6.30</w:t>
            </w:r>
          </w:p>
        </w:tc>
        <w:tc>
          <w:tcPr>
            <w:tcW w:type="dxa" w:w="1728"/>
          </w:tcPr>
          <w:p>
            <w:r>
              <w:rPr>
                <w:rFonts w:ascii="Calibri" w:hAnsi="Calibri"/>
                <w:sz w:val="22"/>
              </w:rPr>
              <w:t>$5.84</w:t>
            </w:r>
          </w:p>
        </w:tc>
        <w:tc>
          <w:tcPr>
            <w:tcW w:type="dxa" w:w="1728"/>
          </w:tcPr>
          <w:p>
            <w:r>
              <w:rPr>
                <w:rFonts w:ascii="Calibri" w:hAnsi="Calibri"/>
                <w:sz w:val="22"/>
              </w:rPr>
              <w:t>+7.9%</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$5.80</w:t>
            </w:r>
          </w:p>
        </w:tc>
        <w:tc>
          <w:tcPr>
            <w:tcW w:type="dxa" w:w="1728"/>
          </w:tcPr>
          <w:p>
            <w:r>
              <w:rPr>
                <w:rFonts w:ascii="Calibri" w:hAnsi="Calibri"/>
                <w:sz w:val="22"/>
              </w:rPr>
              <w:t>$5.48</w:t>
            </w:r>
          </w:p>
        </w:tc>
        <w:tc>
          <w:tcPr>
            <w:tcW w:type="dxa" w:w="1728"/>
          </w:tcPr>
          <w:p>
            <w:r>
              <w:rPr>
                <w:rFonts w:ascii="Calibri" w:hAnsi="Calibri"/>
                <w:sz w:val="22"/>
              </w:rPr>
              <w:t>+5.9%</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TDY has beaten non-GAAP EPS consensus in all eight of the last eight quarters, with an average surprise of approximately +3.6% and a range of +0.5% to +7.9%. The largest beats occurred in Q4 2025 and Q1 2026, coinciding with accelerating defense demand and Digital Imaging outperformance. This consistent beat history is a key reason the bar is not low heading into Q2 2026.</w:t>
      </w:r>
    </w:p>
    <w:p>
      <w:r>
        <w:rPr>
          <w:rFonts w:ascii="Calibri" w:hAnsi="Calibri"/>
          <w:b/>
          <w:color w:val="525866"/>
          <w:sz w:val="22"/>
        </w:rPr>
        <w:t xml:space="preserve">Source: </w:t>
      </w:r>
      <w:r>
        <w:rPr>
          <w:rFonts w:ascii="Calibri" w:hAnsi="Calibri"/>
          <w:color w:val="525866"/>
          <w:sz w:val="22"/>
        </w:rPr>
        <w:t>Visible Alpha Consensus and Actuals Data — EPS - Diluted - Operating($) (https://insights.visiblealpha.com/mex/TDY_US/NMV/IS).</w:t>
      </w:r>
    </w:p>
    <w:p>
      <w:pPr>
        <w:pStyle w:val="Heading2"/>
      </w:pPr>
      <w:r>
        <w:rPr>
          <w:rFonts w:ascii="Calibri" w:hAnsi="Calibri"/>
          <w:b/>
          <w:color w:val="3B4259"/>
          <w:sz w:val="28"/>
        </w:rPr>
        <w:t>Table 2B — Beat / Miss History (Last 8 Quarters) —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$1,374.1M</w:t>
            </w:r>
          </w:p>
        </w:tc>
        <w:tc>
          <w:tcPr>
            <w:tcW w:type="dxa" w:w="1728"/>
          </w:tcPr>
          <w:p>
            <w:r>
              <w:rPr>
                <w:rFonts w:ascii="Calibri" w:hAnsi="Calibri"/>
                <w:sz w:val="22"/>
              </w:rPr>
              <w:t>$1,361.9M</w:t>
            </w:r>
          </w:p>
        </w:tc>
        <w:tc>
          <w:tcPr>
            <w:tcW w:type="dxa" w:w="1728"/>
          </w:tcPr>
          <w:p>
            <w:r>
              <w:rPr>
                <w:rFonts w:ascii="Calibri" w:hAnsi="Calibri"/>
                <w:sz w:val="22"/>
              </w:rPr>
              <w:t>+0.9%</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$1,443.5M</w:t>
            </w:r>
          </w:p>
        </w:tc>
        <w:tc>
          <w:tcPr>
            <w:tcW w:type="dxa" w:w="1728"/>
          </w:tcPr>
          <w:p>
            <w:r>
              <w:rPr>
                <w:rFonts w:ascii="Calibri" w:hAnsi="Calibri"/>
                <w:sz w:val="22"/>
              </w:rPr>
              <w:t>$1,417.8M</w:t>
            </w:r>
          </w:p>
        </w:tc>
        <w:tc>
          <w:tcPr>
            <w:tcW w:type="dxa" w:w="1728"/>
          </w:tcPr>
          <w:p>
            <w:r>
              <w:rPr>
                <w:rFonts w:ascii="Calibri" w:hAnsi="Calibri"/>
                <w:sz w:val="22"/>
              </w:rPr>
              <w:t>+1.8%</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$1,502.3M</w:t>
            </w:r>
          </w:p>
        </w:tc>
        <w:tc>
          <w:tcPr>
            <w:tcW w:type="dxa" w:w="1728"/>
          </w:tcPr>
          <w:p>
            <w:r>
              <w:rPr>
                <w:rFonts w:ascii="Calibri" w:hAnsi="Calibri"/>
                <w:sz w:val="22"/>
              </w:rPr>
              <w:t>$1,450.1M</w:t>
            </w:r>
          </w:p>
        </w:tc>
        <w:tc>
          <w:tcPr>
            <w:tcW w:type="dxa" w:w="1728"/>
          </w:tcPr>
          <w:p>
            <w:r>
              <w:rPr>
                <w:rFonts w:ascii="Calibri" w:hAnsi="Calibri"/>
                <w:sz w:val="22"/>
              </w:rPr>
              <w:t>+3.6%</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$1,449.9M</w:t>
            </w:r>
          </w:p>
        </w:tc>
        <w:tc>
          <w:tcPr>
            <w:tcW w:type="dxa" w:w="1728"/>
          </w:tcPr>
          <w:p>
            <w:r>
              <w:rPr>
                <w:rFonts w:ascii="Calibri" w:hAnsi="Calibri"/>
                <w:sz w:val="22"/>
              </w:rPr>
              <w:t>$1,428.8M</w:t>
            </w:r>
          </w:p>
        </w:tc>
        <w:tc>
          <w:tcPr>
            <w:tcW w:type="dxa" w:w="1728"/>
          </w:tcPr>
          <w:p>
            <w:r>
              <w:rPr>
                <w:rFonts w:ascii="Calibri" w:hAnsi="Calibri"/>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$1,513.7M</w:t>
            </w:r>
          </w:p>
        </w:tc>
        <w:tc>
          <w:tcPr>
            <w:tcW w:type="dxa" w:w="1728"/>
          </w:tcPr>
          <w:p>
            <w:r>
              <w:rPr>
                <w:rFonts w:ascii="Calibri" w:hAnsi="Calibri"/>
                <w:sz w:val="22"/>
              </w:rPr>
              <w:t>$1,475.1M</w:t>
            </w:r>
          </w:p>
        </w:tc>
        <w:tc>
          <w:tcPr>
            <w:tcW w:type="dxa" w:w="1728"/>
          </w:tcPr>
          <w:p>
            <w:r>
              <w:rPr>
                <w:rFonts w:ascii="Calibri" w:hAnsi="Calibri"/>
                <w:sz w:val="22"/>
              </w:rPr>
              <w:t>+2.6%</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$1,539.5M</w:t>
            </w:r>
          </w:p>
        </w:tc>
        <w:tc>
          <w:tcPr>
            <w:tcW w:type="dxa" w:w="1728"/>
          </w:tcPr>
          <w:p>
            <w:r>
              <w:rPr>
                <w:rFonts w:ascii="Calibri" w:hAnsi="Calibri"/>
                <w:sz w:val="22"/>
              </w:rPr>
              <w:t>$1,527.6M</w:t>
            </w:r>
          </w:p>
        </w:tc>
        <w:tc>
          <w:tcPr>
            <w:tcW w:type="dxa" w:w="1728"/>
          </w:tcPr>
          <w:p>
            <w:r>
              <w:rPr>
                <w:rFonts w:ascii="Calibri" w:hAnsi="Calibri"/>
                <w:sz w:val="22"/>
              </w:rPr>
              <w:t>+0.8%</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$1,612.3M</w:t>
            </w:r>
          </w:p>
        </w:tc>
        <w:tc>
          <w:tcPr>
            <w:tcW w:type="dxa" w:w="1728"/>
          </w:tcPr>
          <w:p>
            <w:r>
              <w:rPr>
                <w:rFonts w:ascii="Calibri" w:hAnsi="Calibri"/>
                <w:sz w:val="22"/>
              </w:rPr>
              <w:t>$1,571.4M</w:t>
            </w:r>
          </w:p>
        </w:tc>
        <w:tc>
          <w:tcPr>
            <w:tcW w:type="dxa" w:w="1728"/>
          </w:tcPr>
          <w:p>
            <w:r>
              <w:rPr>
                <w:rFonts w:ascii="Calibri" w:hAnsi="Calibri"/>
                <w:sz w:val="22"/>
              </w:rPr>
              <w:t>+2.6%</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$1,560.1M</w:t>
            </w:r>
          </w:p>
        </w:tc>
        <w:tc>
          <w:tcPr>
            <w:tcW w:type="dxa" w:w="1728"/>
          </w:tcPr>
          <w:p>
            <w:r>
              <w:rPr>
                <w:rFonts w:ascii="Calibri" w:hAnsi="Calibri"/>
                <w:sz w:val="22"/>
              </w:rPr>
              <w:t>$1,515.0M</w:t>
            </w:r>
          </w:p>
        </w:tc>
        <w:tc>
          <w:tcPr>
            <w:tcW w:type="dxa" w:w="1728"/>
          </w:tcPr>
          <w:p>
            <w:r>
              <w:rPr>
                <w:rFonts w:ascii="Calibri" w:hAnsi="Calibri"/>
                <w:sz w:val="22"/>
              </w:rPr>
              <w:t>+3.0%</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TDY has beaten revenue consensus in all eight of the last eight quarters, with an average surprise of approximately +2.1%. The consistent beat pattern on both revenue and EPS reflects management's conservative guidance philosophy and strong operational execution.</w:t>
      </w:r>
    </w:p>
    <w:p>
      <w:r>
        <w:rPr>
          <w:rFonts w:ascii="Calibri" w:hAnsi="Calibri"/>
          <w:b/>
          <w:color w:val="525866"/>
          <w:sz w:val="22"/>
        </w:rPr>
        <w:t xml:space="preserve">Source: </w:t>
      </w:r>
      <w:r>
        <w:rPr>
          <w:rFonts w:ascii="Calibri" w:hAnsi="Calibri"/>
          <w:color w:val="525866"/>
          <w:sz w:val="22"/>
        </w:rPr>
        <w:t>Visible Alpha Consensus and Actuals Data — Revenue (https://insights.visiblealpha.com/mex/TDY_US/NMV/IS).</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raised full-year 2026 non-GAAP EPS guidance at both ends on the Q1 call — the most meaningful guidance revision since the year began — and tone has shifted to explicitly more confident, citing defense demand acceleration and undisclosed government capacity investment. </w:t>
      </w:r>
      <w:r>
        <w:rPr>
          <w:rFonts w:ascii="Calibri" w:hAnsi="Calibri"/>
          <w:b/>
          <w:color w:val="525866"/>
          <w:sz w:val="22"/>
        </w:rPr>
        <w:t>No post-earnings guidance revisions have been issued since April 22,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April 22, 2026)</w:t>
            </w:r>
          </w:p>
        </w:tc>
        <w:tc>
          <w:tcPr>
            <w:tcW w:type="dxa" w:w="1728"/>
            <w:shd w:val="clear" w:color="auto" w:fill="3B4259"/>
          </w:tcPr>
          <w:p>
            <w:r>
              <w:rPr>
                <w:rFonts w:ascii="Calibri" w:hAnsi="Calibri"/>
                <w:b/>
                <w:color w:val="FFFFFF"/>
                <w:sz w:val="22"/>
              </w:rPr>
              <w:t>Revised Guidance (Post-Earnings)</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Non-GAAP EPS</w:t>
            </w:r>
          </w:p>
        </w:tc>
        <w:tc>
          <w:tcPr>
            <w:tcW w:type="dxa" w:w="1728"/>
          </w:tcPr>
          <w:p>
            <w:r>
              <w:rPr>
                <w:rFonts w:ascii="Calibri" w:hAnsi="Calibri"/>
                <w:sz w:val="22"/>
              </w:rPr>
              <w:t>$5.70 – $5.80</w:t>
            </w:r>
          </w:p>
        </w:tc>
        <w:tc>
          <w:tcPr>
            <w:tcW w:type="dxa" w:w="1728"/>
          </w:tcPr>
          <w:p>
            <w:r>
              <w:rPr>
                <w:rFonts w:ascii="Calibri" w:hAnsi="Calibri"/>
                <w:sz w:val="22"/>
              </w:rPr>
              <w:t>—</w:t>
            </w:r>
          </w:p>
        </w:tc>
        <w:tc>
          <w:tcPr>
            <w:tcW w:type="dxa" w:w="1728"/>
          </w:tcPr>
          <w:p>
            <w:r>
              <w:rPr>
                <w:rFonts w:ascii="Calibri" w:hAnsi="Calibri"/>
                <w:sz w:val="22"/>
              </w:rPr>
              <w:t>$5.79</w:t>
            </w:r>
          </w:p>
        </w:tc>
        <w:tc>
          <w:tcPr>
            <w:tcW w:type="dxa" w:w="1728"/>
          </w:tcPr>
          <w:p>
            <w:r>
              <w:rPr>
                <w:rFonts w:ascii="Calibri" w:hAnsi="Calibri"/>
                <w:sz w:val="22"/>
              </w:rPr>
              <w:t>Consensus at high end of range; no post-earnings revision</w:t>
            </w:r>
          </w:p>
        </w:tc>
      </w:tr>
      <w:tr>
        <w:tc>
          <w:tcPr>
            <w:tcW w:type="dxa" w:w="1728"/>
          </w:tcPr>
          <w:p>
            <w:r>
              <w:rPr>
                <w:rFonts w:ascii="Calibri" w:hAnsi="Calibri"/>
                <w:sz w:val="22"/>
              </w:rPr>
              <w:t>Q2 2026 GAAP EPS</w:t>
            </w:r>
          </w:p>
        </w:tc>
        <w:tc>
          <w:tcPr>
            <w:tcW w:type="dxa" w:w="1728"/>
          </w:tcPr>
          <w:p>
            <w:r>
              <w:rPr>
                <w:rFonts w:ascii="Calibri" w:hAnsi="Calibri"/>
                <w:sz w:val="22"/>
              </w:rPr>
              <w:t>$4.75 – $4.90</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No post-earnings revision</w:t>
            </w:r>
          </w:p>
        </w:tc>
      </w:tr>
      <w:tr>
        <w:tc>
          <w:tcPr>
            <w:tcW w:type="dxa" w:w="1728"/>
          </w:tcPr>
          <w:p>
            <w:r>
              <w:rPr>
                <w:rFonts w:ascii="Calibri" w:hAnsi="Calibri"/>
                <w:sz w:val="22"/>
              </w:rPr>
              <w:t>FY2026 Non-GAAP EPS</w:t>
            </w:r>
          </w:p>
        </w:tc>
        <w:tc>
          <w:tcPr>
            <w:tcW w:type="dxa" w:w="1728"/>
          </w:tcPr>
          <w:p>
            <w:r>
              <w:rPr>
                <w:rFonts w:ascii="Calibri" w:hAnsi="Calibri"/>
                <w:sz w:val="22"/>
              </w:rPr>
              <w:t>$23.85 – $24.15 (raised from $23.45–$23.85 at Q4 2025 earnings)</w:t>
            </w:r>
          </w:p>
        </w:tc>
        <w:tc>
          <w:tcPr>
            <w:tcW w:type="dxa" w:w="1728"/>
          </w:tcPr>
          <w:p>
            <w:r>
              <w:rPr>
                <w:rFonts w:ascii="Calibri" w:hAnsi="Calibri"/>
                <w:sz w:val="22"/>
              </w:rPr>
              <w:t>—</w:t>
            </w:r>
          </w:p>
        </w:tc>
        <w:tc>
          <w:tcPr>
            <w:tcW w:type="dxa" w:w="1728"/>
          </w:tcPr>
          <w:p>
            <w:r>
              <w:rPr>
                <w:rFonts w:ascii="Calibri" w:hAnsi="Calibri"/>
                <w:sz w:val="22"/>
              </w:rPr>
              <w:t>$24.19</w:t>
            </w:r>
          </w:p>
        </w:tc>
        <w:tc>
          <w:tcPr>
            <w:tcW w:type="dxa" w:w="1728"/>
          </w:tcPr>
          <w:p>
            <w:r>
              <w:rPr>
                <w:rFonts w:ascii="Calibri" w:hAnsi="Calibri"/>
                <w:sz w:val="22"/>
              </w:rPr>
              <w:t>↑ Raised at Q1 2026 earnings (April 22, 2026); reflects record Q1 performance and accelerating defense demand; consensus slightly above midpoint ($24.00)</w:t>
            </w:r>
          </w:p>
        </w:tc>
      </w:tr>
      <w:tr>
        <w:tc>
          <w:tcPr>
            <w:tcW w:type="dxa" w:w="1728"/>
          </w:tcPr>
          <w:p>
            <w:r>
              <w:rPr>
                <w:rFonts w:ascii="Calibri" w:hAnsi="Calibri"/>
                <w:sz w:val="22"/>
              </w:rPr>
              <w:t>FY2026 GAAP EPS</w:t>
            </w:r>
          </w:p>
        </w:tc>
        <w:tc>
          <w:tcPr>
            <w:tcW w:type="dxa" w:w="1728"/>
          </w:tcPr>
          <w:p>
            <w:r>
              <w:rPr>
                <w:rFonts w:ascii="Calibri" w:hAnsi="Calibri"/>
                <w:sz w:val="22"/>
              </w:rPr>
              <w:t>$20.08 – $20.44 (raised from $19.76–$20.22)</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 Raised at Q1 2026 earnings; no subsequent revision</w:t>
            </w:r>
          </w:p>
        </w:tc>
      </w:tr>
      <w:tr>
        <w:tc>
          <w:tcPr>
            <w:tcW w:type="dxa" w:w="1728"/>
          </w:tcPr>
          <w:p>
            <w:r>
              <w:rPr>
                <w:rFonts w:ascii="Calibri" w:hAnsi="Calibri"/>
                <w:sz w:val="22"/>
              </w:rPr>
              <w:t>Digital Imaging Op. Margin (FY2026)</w:t>
            </w:r>
          </w:p>
        </w:tc>
        <w:tc>
          <w:tcPr>
            <w:tcW w:type="dxa" w:w="1728"/>
          </w:tcPr>
          <w:p>
            <w:r>
              <w:rPr>
                <w:rFonts w:ascii="Calibri" w:hAnsi="Calibri"/>
                <w:sz w:val="22"/>
              </w:rPr>
              <w:t>&gt;100 bps expansion vs. 2025 (23.4% target); path toward 24% longer-term</w:t>
            </w:r>
          </w:p>
        </w:tc>
        <w:tc>
          <w:tcPr>
            <w:tcW w:type="dxa" w:w="1728"/>
          </w:tcPr>
          <w:p>
            <w:r>
              <w:rPr>
                <w:rFonts w:ascii="Calibri" w:hAnsi="Calibri"/>
                <w:sz w:val="22"/>
              </w:rPr>
              <w:t>—</w:t>
            </w:r>
          </w:p>
        </w:tc>
        <w:tc>
          <w:tcPr>
            <w:tcW w:type="dxa" w:w="1728"/>
          </w:tcPr>
          <w:p>
            <w:r>
              <w:rPr>
                <w:rFonts w:ascii="Calibri" w:hAnsi="Calibri"/>
                <w:sz w:val="22"/>
              </w:rPr>
              <w:t>23.6%</w:t>
            </w:r>
          </w:p>
        </w:tc>
        <w:tc>
          <w:tcPr>
            <w:tcW w:type="dxa" w:w="1728"/>
          </w:tcPr>
          <w:p>
            <w:r>
              <w:rPr>
                <w:rFonts w:ascii="Calibri" w:hAnsi="Calibri"/>
                <w:sz w:val="22"/>
              </w:rPr>
              <w:t>Unchanged; consensus tracking above guidance floor</w:t>
            </w:r>
          </w:p>
        </w:tc>
      </w:tr>
      <w:tr>
        <w:tc>
          <w:tcPr>
            <w:tcW w:type="dxa" w:w="1728"/>
          </w:tcPr>
          <w:p>
            <w:r>
              <w:rPr>
                <w:rFonts w:ascii="Calibri" w:hAnsi="Calibri"/>
                <w:sz w:val="22"/>
              </w:rPr>
              <w:t>Unmanned Systems Revenue (FY2026)</w:t>
            </w:r>
          </w:p>
        </w:tc>
        <w:tc>
          <w:tcPr>
            <w:tcW w:type="dxa" w:w="1728"/>
          </w:tcPr>
          <w:p>
            <w:r>
              <w:rPr>
                <w:rFonts w:ascii="Calibri" w:hAnsi="Calibri"/>
                <w:sz w:val="22"/>
              </w:rPr>
              <w:t>~$550M (+10% YoY from $500M in 2025)</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Unchanged; management cited Iran conflict and European defense buildout as incremental catalysts</w:t>
            </w:r>
          </w:p>
        </w:tc>
      </w:tr>
      <w:tr>
        <w:tc>
          <w:tcPr>
            <w:tcW w:type="dxa" w:w="1728"/>
          </w:tcPr>
          <w:p>
            <w:r>
              <w:rPr>
                <w:rFonts w:ascii="Calibri" w:hAnsi="Calibri"/>
                <w:sz w:val="22"/>
              </w:rPr>
              <w:t>Leverage Ratio (Q1 2026 actual)</w:t>
            </w:r>
          </w:p>
        </w:tc>
        <w:tc>
          <w:tcPr>
            <w:tcW w:type="dxa" w:w="1728"/>
          </w:tcPr>
          <w:p>
            <w:r>
              <w:rPr>
                <w:rFonts w:ascii="Calibri" w:hAnsi="Calibri"/>
                <w:sz w:val="22"/>
              </w:rPr>
              <w:t>1.3x (five-year low); $450M debt maturity paid post-quarter</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Balance sheet flexibility intact; M&amp;A optionality preserved</w:t>
            </w:r>
          </w:p>
        </w:tc>
      </w:tr>
    </w:tbl>
    <w:p>
      <w:r>
        <w:rPr>
          <w:rFonts w:ascii="Calibri" w:hAnsi="Calibri"/>
          <w:b/>
          <w:color w:val="525866"/>
          <w:sz w:val="22"/>
        </w:rPr>
        <w:t xml:space="preserve">Sources: </w:t>
      </w:r>
      <w:r>
        <w:rPr>
          <w:rFonts w:ascii="Calibri" w:hAnsi="Calibri"/>
          <w:color w:val="525866"/>
          <w:sz w:val="22"/>
        </w:rPr>
        <w:t>TDY Q1 2026 Earnings Release (April 22, 2026); Visible Alpha Consensus and Actuals Data (https://insights.visiblealpha.com/mex/TDY_US/NMV/IS; /SG).</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and FY2026 have been remarkably stable since the Q1 print — EPS and revenue revisions are essentially flat — suggesting the Street has absorbed the guidance raise without chasing numbers higher. </w:t>
      </w:r>
      <w:r>
        <w:rPr>
          <w:rFonts w:ascii="Calibri" w:hAnsi="Calibri"/>
          <w:b/>
          <w:color w:val="525866"/>
          <w:sz w:val="22"/>
        </w:rPr>
        <w:t>This stability is a mild cushion: if TDY executes in line with its own guidance, consensus is beatable.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(Apr 29, 2026 — ~5 Days Post Q1 Print)</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Non-GAAP EPS — Q2 2026</w:t>
            </w:r>
          </w:p>
        </w:tc>
        <w:tc>
          <w:tcPr>
            <w:tcW w:type="dxa" w:w="1080"/>
          </w:tcPr>
          <w:p>
            <w:r>
              <w:rPr>
                <w:rFonts w:ascii="Calibri" w:hAnsi="Calibri"/>
                <w:sz w:val="22"/>
              </w:rPr>
              <w:t>$5.787</w:t>
            </w:r>
          </w:p>
        </w:tc>
        <w:tc>
          <w:tcPr>
            <w:tcW w:type="dxa" w:w="1080"/>
          </w:tcPr>
          <w:p>
            <w:r>
              <w:rPr>
                <w:rFonts w:ascii="Calibri" w:hAnsi="Calibri"/>
                <w:sz w:val="22"/>
              </w:rPr>
              <w:t>$5.793</w:t>
            </w:r>
          </w:p>
        </w:tc>
        <w:tc>
          <w:tcPr>
            <w:tcW w:type="dxa" w:w="1080"/>
          </w:tcPr>
          <w:p>
            <w:r>
              <w:rPr>
                <w:rFonts w:ascii="Calibri" w:hAnsi="Calibri"/>
                <w:sz w:val="22"/>
              </w:rPr>
              <w:t>+0.1%</w:t>
            </w:r>
          </w:p>
        </w:tc>
        <w:tc>
          <w:tcPr>
            <w:tcW w:type="dxa" w:w="1080"/>
          </w:tcPr>
          <w:p>
            <w:r>
              <w:rPr>
                <w:rFonts w:ascii="Calibri" w:hAnsi="Calibri"/>
                <w:sz w:val="22"/>
              </w:rPr>
              <w:t>$5.70–$5.80</w:t>
            </w:r>
          </w:p>
        </w:tc>
        <w:tc>
          <w:tcPr>
            <w:tcW w:type="dxa" w:w="1080"/>
          </w:tcPr>
          <w:p>
            <w:r>
              <w:rPr>
                <w:rFonts w:ascii="Calibri" w:hAnsi="Calibri"/>
                <w:sz w:val="22"/>
              </w:rPr>
              <w:t>$5.70–$5.80 (unchanged)</w:t>
            </w:r>
          </w:p>
        </w:tc>
        <w:tc>
          <w:tcPr>
            <w:tcW w:type="dxa" w:w="1080"/>
          </w:tcPr>
          <w:p>
            <w:r>
              <w:rPr>
                <w:rFonts w:ascii="Calibri" w:hAnsi="Calibri"/>
                <w:sz w:val="22"/>
              </w:rPr>
              <w:t>Flat</w:t>
            </w:r>
          </w:p>
        </w:tc>
        <w:tc>
          <w:tcPr>
            <w:tcW w:type="dxa" w:w="1080"/>
          </w:tcPr>
          <w:p>
            <w:r>
              <w:rPr>
                <w:rFonts w:ascii="Calibri" w:hAnsi="Calibri"/>
                <w:sz w:val="22"/>
              </w:rPr>
              <w:t>+0.2% above $5.75 midpoint</w:t>
            </w:r>
          </w:p>
        </w:tc>
      </w:tr>
      <w:tr>
        <w:tc>
          <w:tcPr>
            <w:tcW w:type="dxa" w:w="1080"/>
          </w:tcPr>
          <w:p>
            <w:r>
              <w:rPr>
                <w:rFonts w:ascii="Calibri" w:hAnsi="Calibri"/>
                <w:sz w:val="22"/>
              </w:rPr>
              <w:t>Non-GAAP EPS — FY2026</w:t>
            </w:r>
          </w:p>
        </w:tc>
        <w:tc>
          <w:tcPr>
            <w:tcW w:type="dxa" w:w="1080"/>
          </w:tcPr>
          <w:p>
            <w:r>
              <w:rPr>
                <w:rFonts w:ascii="Calibri" w:hAnsi="Calibri"/>
                <w:sz w:val="22"/>
              </w:rPr>
              <w:t>$24.181</w:t>
            </w:r>
          </w:p>
        </w:tc>
        <w:tc>
          <w:tcPr>
            <w:tcW w:type="dxa" w:w="1080"/>
          </w:tcPr>
          <w:p>
            <w:r>
              <w:rPr>
                <w:rFonts w:ascii="Calibri" w:hAnsi="Calibri"/>
                <w:sz w:val="22"/>
              </w:rPr>
              <w:t>$24.195</w:t>
            </w:r>
          </w:p>
        </w:tc>
        <w:tc>
          <w:tcPr>
            <w:tcW w:type="dxa" w:w="1080"/>
          </w:tcPr>
          <w:p>
            <w:r>
              <w:rPr>
                <w:rFonts w:ascii="Calibri" w:hAnsi="Calibri"/>
                <w:sz w:val="22"/>
              </w:rPr>
              <w:t>+0.1%</w:t>
            </w:r>
          </w:p>
        </w:tc>
        <w:tc>
          <w:tcPr>
            <w:tcW w:type="dxa" w:w="1080"/>
          </w:tcPr>
          <w:p>
            <w:r>
              <w:rPr>
                <w:rFonts w:ascii="Calibri" w:hAnsi="Calibri"/>
                <w:sz w:val="22"/>
              </w:rPr>
              <w:t>$23.85–$24.15</w:t>
            </w:r>
          </w:p>
        </w:tc>
        <w:tc>
          <w:tcPr>
            <w:tcW w:type="dxa" w:w="1080"/>
          </w:tcPr>
          <w:p>
            <w:r>
              <w:rPr>
                <w:rFonts w:ascii="Calibri" w:hAnsi="Calibri"/>
                <w:sz w:val="22"/>
              </w:rPr>
              <w:t>$23.85–$24.15 (unchanged)</w:t>
            </w:r>
          </w:p>
        </w:tc>
        <w:tc>
          <w:tcPr>
            <w:tcW w:type="dxa" w:w="1080"/>
          </w:tcPr>
          <w:p>
            <w:r>
              <w:rPr>
                <w:rFonts w:ascii="Calibri" w:hAnsi="Calibri"/>
                <w:sz w:val="22"/>
              </w:rPr>
              <w:t>Flat</w:t>
            </w:r>
          </w:p>
        </w:tc>
        <w:tc>
          <w:tcPr>
            <w:tcW w:type="dxa" w:w="1080"/>
          </w:tcPr>
          <w:p>
            <w:r>
              <w:rPr>
                <w:rFonts w:ascii="Calibri" w:hAnsi="Calibri"/>
                <w:sz w:val="22"/>
              </w:rPr>
              <w:t>+0.8% above $24.00 midpoint</w:t>
            </w:r>
          </w:p>
        </w:tc>
      </w:tr>
      <w:tr>
        <w:tc>
          <w:tcPr>
            <w:tcW w:type="dxa" w:w="1080"/>
          </w:tcPr>
          <w:p>
            <w:r>
              <w:rPr>
                <w:rFonts w:ascii="Calibri" w:hAnsi="Calibri"/>
                <w:sz w:val="22"/>
              </w:rPr>
              <w:t>Revenue — Q2 2026</w:t>
            </w:r>
          </w:p>
        </w:tc>
        <w:tc>
          <w:tcPr>
            <w:tcW w:type="dxa" w:w="1080"/>
          </w:tcPr>
          <w:p>
            <w:r>
              <w:rPr>
                <w:rFonts w:ascii="Calibri" w:hAnsi="Calibri"/>
                <w:sz w:val="22"/>
              </w:rPr>
              <w:t>$1,577.6M</w:t>
            </w:r>
          </w:p>
        </w:tc>
        <w:tc>
          <w:tcPr>
            <w:tcW w:type="dxa" w:w="1080"/>
          </w:tcPr>
          <w:p>
            <w:r>
              <w:rPr>
                <w:rFonts w:ascii="Calibri" w:hAnsi="Calibri"/>
                <w:sz w:val="22"/>
              </w:rPr>
              <w:t>$1,579.5M</w:t>
            </w:r>
          </w:p>
        </w:tc>
        <w:tc>
          <w:tcPr>
            <w:tcW w:type="dxa" w:w="1080"/>
          </w:tcPr>
          <w:p>
            <w:r>
              <w:rPr>
                <w:rFonts w:ascii="Calibri" w:hAnsi="Calibri"/>
                <w:sz w:val="22"/>
              </w:rPr>
              <w:t>+0.1%</w:t>
            </w:r>
          </w:p>
        </w:tc>
        <w:tc>
          <w:tcPr>
            <w:tcW w:type="dxa" w:w="1080"/>
          </w:tcPr>
          <w:p>
            <w:r>
              <w:rPr>
                <w:rFonts w:ascii="Calibri" w:hAnsi="Calibri"/>
                <w:sz w:val="22"/>
              </w:rPr>
              <w:t>N/A (no explicit Q2 revenue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Revenue — FY2026</w:t>
            </w:r>
          </w:p>
        </w:tc>
        <w:tc>
          <w:tcPr>
            <w:tcW w:type="dxa" w:w="1080"/>
          </w:tcPr>
          <w:p>
            <w:r>
              <w:rPr>
                <w:rFonts w:ascii="Calibri" w:hAnsi="Calibri"/>
                <w:sz w:val="22"/>
              </w:rPr>
              <w:t>$6,428.1M</w:t>
            </w:r>
          </w:p>
        </w:tc>
        <w:tc>
          <w:tcPr>
            <w:tcW w:type="dxa" w:w="1080"/>
          </w:tcPr>
          <w:p>
            <w:r>
              <w:rPr>
                <w:rFonts w:ascii="Calibri" w:hAnsi="Calibri"/>
                <w:sz w:val="22"/>
              </w:rPr>
              <w:t>$6,429.1M</w:t>
            </w:r>
          </w:p>
        </w:tc>
        <w:tc>
          <w:tcPr>
            <w:tcW w:type="dxa" w:w="1080"/>
          </w:tcPr>
          <w:p>
            <w:r>
              <w:rPr>
                <w:rFonts w:ascii="Calibri" w:hAnsi="Calibri"/>
                <w:sz w:val="22"/>
              </w:rPr>
              <w:t>+0.0%</w:t>
            </w:r>
          </w:p>
        </w:tc>
        <w:tc>
          <w:tcPr>
            <w:tcW w:type="dxa" w:w="1080"/>
          </w:tcPr>
          <w:p>
            <w:r>
              <w:rPr>
                <w:rFonts w:ascii="Calibri" w:hAnsi="Calibri"/>
                <w:sz w:val="22"/>
              </w:rPr>
              <w:t>N/A (no explicit FY revenue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Digital Imaging Op. Margin — Q2 2026</w:t>
            </w:r>
          </w:p>
        </w:tc>
        <w:tc>
          <w:tcPr>
            <w:tcW w:type="dxa" w:w="1080"/>
          </w:tcPr>
          <w:p>
            <w:r>
              <w:rPr>
                <w:rFonts w:ascii="Calibri" w:hAnsi="Calibri"/>
                <w:sz w:val="22"/>
              </w:rPr>
              <w:t>23.09%</w:t>
            </w:r>
          </w:p>
        </w:tc>
        <w:tc>
          <w:tcPr>
            <w:tcW w:type="dxa" w:w="1080"/>
          </w:tcPr>
          <w:p>
            <w:r>
              <w:rPr>
                <w:rFonts w:ascii="Calibri" w:hAnsi="Calibri"/>
                <w:sz w:val="22"/>
              </w:rPr>
              <w:t>23.13%</w:t>
            </w:r>
          </w:p>
        </w:tc>
        <w:tc>
          <w:tcPr>
            <w:tcW w:type="dxa" w:w="1080"/>
          </w:tcPr>
          <w:p>
            <w:r>
              <w:rPr>
                <w:rFonts w:ascii="Calibri" w:hAnsi="Calibri"/>
                <w:sz w:val="22"/>
              </w:rPr>
              <w:t>+0.0%</w:t>
            </w:r>
          </w:p>
        </w:tc>
        <w:tc>
          <w:tcPr>
            <w:tcW w:type="dxa" w:w="1080"/>
          </w:tcPr>
          <w:p>
            <w:r>
              <w:rPr>
                <w:rFonts w:ascii="Calibri" w:hAnsi="Calibri"/>
                <w:sz w:val="22"/>
              </w:rPr>
              <w:t>&gt;100 bps expansion vs. 2025 (FY)</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Tracking above FY floor</w:t>
            </w:r>
          </w:p>
        </w:tc>
      </w:tr>
    </w:tbl>
    <w:p>
      <w:r>
        <w:rPr>
          <w:rFonts w:ascii="Calibri" w:hAnsi="Calibri"/>
          <w:b/>
          <w:color w:val="525866"/>
          <w:sz w:val="22"/>
        </w:rPr>
        <w:t xml:space="preserve">Commentary: </w:t>
      </w:r>
      <w:r>
        <w:rPr>
          <w:rFonts w:ascii="Calibri" w:hAnsi="Calibri"/>
          <w:color w:val="525866"/>
          <w:sz w:val="22"/>
        </w:rPr>
        <w:t>The near-zero revision in estimates since the Q1 print is notable given the magnitude of the Q1 beat (+5.9% on EPS, +3.0% on revenue) and the guidance raise. The Street appears to be treating the Q1 outperformance as partly timing-related and is not extrapolating it into Q2, which keeps the bar from becoming stretched. The gap between consensus ($24.195) and the guidance midpoint ($24.00) on FY2026 EPS is only +0.8%, suggesting limited cushion if management does not raise again — but also limited downside risk if they simply reiterate.</w:t>
      </w:r>
    </w:p>
    <w:p>
      <w:r>
        <w:rPr>
          <w:rFonts w:ascii="Calibri" w:hAnsi="Calibri"/>
          <w:b/>
          <w:color w:val="525866"/>
          <w:sz w:val="22"/>
        </w:rPr>
        <w:t xml:space="preserve">Sources: </w:t>
      </w:r>
      <w:r>
        <w:rPr>
          <w:rFonts w:ascii="Calibri" w:hAnsi="Calibri"/>
          <w:color w:val="525866"/>
          <w:sz w:val="22"/>
        </w:rPr>
        <w:t>Visible Alpha Consensus and Actuals Data — EPS - Diluted - Operating($), Revenue, Operating margin - Digital imaging - Operating(%) (https://insights.visiblealpha.com/mex/TDY_US/NMV/IS; /SG). Guidance from TDY Q1 2026 Earnings Release (April 22,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TDY’s ~14.9% 12-month gain has been driven almost entirely by earnings growth, with EV/EBITDA multiple essentially flat (-0.6%) over the same period. </w:t>
      </w:r>
      <w:r>
        <w:rPr>
          <w:rFonts w:ascii="Calibri" w:hAnsi="Calibri"/>
          <w:b/>
          <w:color w:val="525866"/>
          <w:sz w:val="22"/>
        </w:rPr>
        <w:t>The move is fundamentally supported, not sentiment-driven</w:t>
      </w:r>
      <w:r>
        <w:rPr>
          <w:rFonts w:ascii="Calibri" w:hAnsi="Calibri"/>
          <w:color w:val="525866"/>
          <w:sz w:val="22"/>
        </w:rPr>
        <w:t>, which means the stock is not pricing in a blowout but also has limited multiple-compression risk if the print is in-line.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Time Horizon</w:t>
            </w:r>
          </w:p>
        </w:tc>
        <w:tc>
          <w:tcPr>
            <w:tcW w:type="dxa" w:w="1440"/>
            <w:shd w:val="clear" w:color="auto" w:fill="3B4259"/>
          </w:tcPr>
          <w:p>
            <w:r>
              <w:rPr>
                <w:rFonts w:ascii="Calibri" w:hAnsi="Calibri"/>
                <w:b/>
                <w:color w:val="FFFFFF"/>
                <w:sz w:val="22"/>
              </w:rPr>
              <w:t>Price Return</w:t>
            </w:r>
          </w:p>
        </w:tc>
        <w:tc>
          <w:tcPr>
            <w:tcW w:type="dxa" w:w="1440"/>
            <w:shd w:val="clear" w:color="auto" w:fill="3B4259"/>
          </w:tcPr>
          <w:p>
            <w:r>
              <w:rPr>
                <w:rFonts w:ascii="Calibri" w:hAnsi="Calibri"/>
                <w:b/>
                <w:color w:val="FFFFFF"/>
                <w:sz w:val="22"/>
              </w:rPr>
              <w:t>NTM EV/EBITDA (Start)</w:t>
            </w:r>
          </w:p>
        </w:tc>
        <w:tc>
          <w:tcPr>
            <w:tcW w:type="dxa" w:w="1440"/>
            <w:shd w:val="clear" w:color="auto" w:fill="3B4259"/>
          </w:tcPr>
          <w:p>
            <w:r>
              <w:rPr>
                <w:rFonts w:ascii="Calibri" w:hAnsi="Calibri"/>
                <w:b/>
                <w:color w:val="FFFFFF"/>
                <w:sz w:val="22"/>
              </w:rPr>
              <w:t>NTM EV/EBITDA (Current)</w:t>
            </w:r>
          </w:p>
        </w:tc>
        <w:tc>
          <w:tcPr>
            <w:tcW w:type="dxa" w:w="1440"/>
            <w:shd w:val="clear" w:color="auto" w:fill="3B4259"/>
          </w:tcPr>
          <w:p>
            <w:r>
              <w:rPr>
                <w:rFonts w:ascii="Calibri" w:hAnsi="Calibri"/>
                <w:b/>
                <w:color w:val="FFFFFF"/>
                <w:sz w:val="22"/>
              </w:rPr>
              <w:t>Multiple Δ</w:t>
            </w:r>
          </w:p>
        </w:tc>
        <w:tc>
          <w:tcPr>
            <w:tcW w:type="dxa" w:w="1440"/>
            <w:shd w:val="clear" w:color="auto" w:fill="3B4259"/>
          </w:tcPr>
          <w:p>
            <w:r>
              <w:rPr>
                <w:rFonts w:ascii="Calibri" w:hAnsi="Calibri"/>
                <w:b/>
                <w:color w:val="FFFFFF"/>
                <w:sz w:val="22"/>
              </w:rPr>
              <w:t>Driver</w:t>
            </w:r>
          </w:p>
        </w:tc>
      </w:tr>
      <w:tr>
        <w:tc>
          <w:tcPr>
            <w:tcW w:type="dxa" w:w="1440"/>
          </w:tcPr>
          <w:p>
            <w:r>
              <w:rPr>
                <w:rFonts w:ascii="Calibri" w:hAnsi="Calibri"/>
                <w:sz w:val="22"/>
              </w:rPr>
              <w:t>1 Month</w:t>
            </w:r>
          </w:p>
        </w:tc>
        <w:tc>
          <w:tcPr>
            <w:tcW w:type="dxa" w:w="1440"/>
          </w:tcPr>
          <w:p>
            <w:r>
              <w:rPr>
                <w:rFonts w:ascii="Calibri" w:hAnsi="Calibri"/>
                <w:sz w:val="22"/>
              </w:rPr>
              <w:t>+4.5%</w:t>
            </w:r>
          </w:p>
        </w:tc>
        <w:tc>
          <w:tcPr>
            <w:tcW w:type="dxa" w:w="1440"/>
          </w:tcPr>
          <w:p>
            <w:r>
              <w:rPr>
                <w:rFonts w:ascii="Calibri" w:hAnsi="Calibri"/>
                <w:sz w:val="22"/>
              </w:rPr>
              <w:t>18.39x</w:t>
            </w:r>
          </w:p>
        </w:tc>
        <w:tc>
          <w:tcPr>
            <w:tcW w:type="dxa" w:w="1440"/>
          </w:tcPr>
          <w:p>
            <w:r>
              <w:rPr>
                <w:rFonts w:ascii="Calibri" w:hAnsi="Calibri"/>
                <w:sz w:val="22"/>
              </w:rPr>
              <w:t>18.58x</w:t>
            </w:r>
          </w:p>
        </w:tc>
        <w:tc>
          <w:tcPr>
            <w:tcW w:type="dxa" w:w="1440"/>
          </w:tcPr>
          <w:p>
            <w:r>
              <w:rPr>
                <w:rFonts w:ascii="Calibri" w:hAnsi="Calibri"/>
                <w:sz w:val="22"/>
              </w:rPr>
              <w:t>+1.1%</w:t>
            </w:r>
          </w:p>
        </w:tc>
        <w:tc>
          <w:tcPr>
            <w:tcW w:type="dxa" w:w="1440"/>
          </w:tcPr>
          <w:p>
            <w:r>
              <w:rPr>
                <w:rFonts w:ascii="Calibri" w:hAnsi="Calibri"/>
                <w:sz w:val="22"/>
              </w:rPr>
              <w:t>Modest multiple expansion + earnings</w:t>
            </w:r>
          </w:p>
        </w:tc>
      </w:tr>
      <w:tr>
        <w:tc>
          <w:tcPr>
            <w:tcW w:type="dxa" w:w="1440"/>
          </w:tcPr>
          <w:p>
            <w:r>
              <w:rPr>
                <w:rFonts w:ascii="Calibri" w:hAnsi="Calibri"/>
                <w:sz w:val="22"/>
              </w:rPr>
              <w:t>3 Months</w:t>
            </w:r>
          </w:p>
        </w:tc>
        <w:tc>
          <w:tcPr>
            <w:tcW w:type="dxa" w:w="1440"/>
          </w:tcPr>
          <w:p>
            <w:r>
              <w:rPr>
                <w:rFonts w:ascii="Calibri" w:hAnsi="Calibri"/>
                <w:sz w:val="22"/>
              </w:rPr>
              <w:t>+0.3%</w:t>
            </w:r>
          </w:p>
        </w:tc>
        <w:tc>
          <w:tcPr>
            <w:tcW w:type="dxa" w:w="1440"/>
          </w:tcPr>
          <w:p>
            <w:r>
              <w:rPr>
                <w:rFonts w:ascii="Calibri" w:hAnsi="Calibri"/>
                <w:sz w:val="22"/>
              </w:rPr>
              <w:t>19.41x</w:t>
            </w:r>
          </w:p>
        </w:tc>
        <w:tc>
          <w:tcPr>
            <w:tcW w:type="dxa" w:w="1440"/>
          </w:tcPr>
          <w:p>
            <w:r>
              <w:rPr>
                <w:rFonts w:ascii="Calibri" w:hAnsi="Calibri"/>
                <w:sz w:val="22"/>
              </w:rPr>
              <w:t>18.58x</w:t>
            </w:r>
          </w:p>
        </w:tc>
        <w:tc>
          <w:tcPr>
            <w:tcW w:type="dxa" w:w="1440"/>
          </w:tcPr>
          <w:p>
            <w:r>
              <w:rPr>
                <w:rFonts w:ascii="Calibri" w:hAnsi="Calibri"/>
                <w:sz w:val="22"/>
              </w:rPr>
              <w:t>-4.3%</w:t>
            </w:r>
          </w:p>
        </w:tc>
        <w:tc>
          <w:tcPr>
            <w:tcW w:type="dxa" w:w="1440"/>
          </w:tcPr>
          <w:p>
            <w:r>
              <w:rPr>
                <w:rFonts w:ascii="Calibri" w:hAnsi="Calibri"/>
                <w:sz w:val="22"/>
              </w:rPr>
              <w:t>Multiple compression offset by earnings growth</w:t>
            </w:r>
          </w:p>
        </w:tc>
      </w:tr>
      <w:tr>
        <w:tc>
          <w:tcPr>
            <w:tcW w:type="dxa" w:w="1440"/>
          </w:tcPr>
          <w:p>
            <w:r>
              <w:rPr>
                <w:rFonts w:ascii="Calibri" w:hAnsi="Calibri"/>
                <w:sz w:val="22"/>
              </w:rPr>
              <w:t>6 Months</w:t>
            </w:r>
          </w:p>
        </w:tc>
        <w:tc>
          <w:tcPr>
            <w:tcW w:type="dxa" w:w="1440"/>
          </w:tcPr>
          <w:p>
            <w:r>
              <w:rPr>
                <w:rFonts w:ascii="Calibri" w:hAnsi="Calibri"/>
                <w:sz w:val="22"/>
              </w:rPr>
              <w:t>+11.3%</w:t>
            </w:r>
          </w:p>
        </w:tc>
        <w:tc>
          <w:tcPr>
            <w:tcW w:type="dxa" w:w="1440"/>
          </w:tcPr>
          <w:p>
            <w:r>
              <w:rPr>
                <w:rFonts w:ascii="Calibri" w:hAnsi="Calibri"/>
                <w:sz w:val="22"/>
              </w:rPr>
              <w:t>18.04x</w:t>
            </w:r>
          </w:p>
        </w:tc>
        <w:tc>
          <w:tcPr>
            <w:tcW w:type="dxa" w:w="1440"/>
          </w:tcPr>
          <w:p>
            <w:r>
              <w:rPr>
                <w:rFonts w:ascii="Calibri" w:hAnsi="Calibri"/>
                <w:sz w:val="22"/>
              </w:rPr>
              <w:t>18.58x</w:t>
            </w:r>
          </w:p>
        </w:tc>
        <w:tc>
          <w:tcPr>
            <w:tcW w:type="dxa" w:w="1440"/>
          </w:tcPr>
          <w:p>
            <w:r>
              <w:rPr>
                <w:rFonts w:ascii="Calibri" w:hAnsi="Calibri"/>
                <w:sz w:val="22"/>
              </w:rPr>
              <w:t>+3.0%</w:t>
            </w:r>
          </w:p>
        </w:tc>
        <w:tc>
          <w:tcPr>
            <w:tcW w:type="dxa" w:w="1440"/>
          </w:tcPr>
          <w:p>
            <w:r>
              <w:rPr>
                <w:rFonts w:ascii="Calibri" w:hAnsi="Calibri"/>
                <w:sz w:val="22"/>
              </w:rPr>
              <w:t>Earnings growth + modest re-rating</w:t>
            </w:r>
          </w:p>
        </w:tc>
      </w:tr>
      <w:tr>
        <w:tc>
          <w:tcPr>
            <w:tcW w:type="dxa" w:w="1440"/>
          </w:tcPr>
          <w:p>
            <w:r>
              <w:rPr>
                <w:rFonts w:ascii="Calibri" w:hAnsi="Calibri"/>
                <w:sz w:val="22"/>
              </w:rPr>
              <w:t>12 Months</w:t>
            </w:r>
          </w:p>
        </w:tc>
        <w:tc>
          <w:tcPr>
            <w:tcW w:type="dxa" w:w="1440"/>
          </w:tcPr>
          <w:p>
            <w:r>
              <w:rPr>
                <w:rFonts w:ascii="Calibri" w:hAnsi="Calibri"/>
                <w:sz w:val="22"/>
              </w:rPr>
              <w:t>+14.9%</w:t>
            </w:r>
          </w:p>
        </w:tc>
        <w:tc>
          <w:tcPr>
            <w:tcW w:type="dxa" w:w="1440"/>
          </w:tcPr>
          <w:p>
            <w:r>
              <w:rPr>
                <w:rFonts w:ascii="Calibri" w:hAnsi="Calibri"/>
                <w:sz w:val="22"/>
              </w:rPr>
              <w:t>18.69x</w:t>
            </w:r>
          </w:p>
        </w:tc>
        <w:tc>
          <w:tcPr>
            <w:tcW w:type="dxa" w:w="1440"/>
          </w:tcPr>
          <w:p>
            <w:r>
              <w:rPr>
                <w:rFonts w:ascii="Calibri" w:hAnsi="Calibri"/>
                <w:sz w:val="22"/>
              </w:rPr>
              <w:t>18.58x</w:t>
            </w:r>
          </w:p>
        </w:tc>
        <w:tc>
          <w:tcPr>
            <w:tcW w:type="dxa" w:w="1440"/>
          </w:tcPr>
          <w:p>
            <w:r>
              <w:rPr>
                <w:rFonts w:ascii="Calibri" w:hAnsi="Calibri"/>
                <w:sz w:val="22"/>
              </w:rPr>
              <w:t>-0.6%</w:t>
            </w:r>
          </w:p>
        </w:tc>
        <w:tc>
          <w:tcPr>
            <w:tcW w:type="dxa" w:w="1440"/>
          </w:tcPr>
          <w:p>
            <w:r>
              <w:rPr>
                <w:rFonts w:ascii="Calibri" w:hAnsi="Calibri"/>
                <w:sz w:val="22"/>
              </w:rPr>
              <w:t>Earnings-driven; multiple essentially flat</w:t>
            </w:r>
          </w:p>
        </w:tc>
      </w:tr>
    </w:tbl>
    <w:p>
      <w:r>
        <w:rPr>
          <w:rFonts w:ascii="Calibri" w:hAnsi="Calibri"/>
          <w:b/>
          <w:color w:val="525866"/>
          <w:sz w:val="22"/>
        </w:rPr>
        <w:t xml:space="preserve">Current NTM Multiples (as of July 21, 2026): </w:t>
      </w:r>
      <w:r>
        <w:rPr>
          <w:rFonts w:ascii="Calibri" w:hAnsi="Calibri"/>
          <w:color w:val="525866"/>
          <w:sz w:val="22"/>
        </w:rPr>
        <w:t>EV/EBITDA 18.58x | EV/Sales 4.68x | P/E 24.80x | P/FCF 24.45x | P/Sales 4.44x | P/Book 2.46x</w:t>
      </w:r>
    </w:p>
    <w:p>
      <w:r>
        <w:rPr>
          <w:rFonts w:ascii="Calibri" w:hAnsi="Calibri"/>
          <w:b/>
          <w:color w:val="525866"/>
          <w:sz w:val="22"/>
        </w:rPr>
        <w:t xml:space="preserve">Key Events Since Q1 2026 Earnings (April 22, 2026): </w:t>
      </w:r>
    </w:p>
    <w:p>
      <w:pPr>
        <w:pStyle w:val="ListBullet"/>
        <w:ind w:left="360" w:hanging="360"/>
      </w:pPr>
      <w:r>
        <w:rPr>
          <w:rFonts w:ascii="Calibri" w:hAnsi="Calibri"/>
          <w:b/>
          <w:color w:val="525866"/>
          <w:sz w:val="22"/>
        </w:rPr>
        <w:t xml:space="preserve">April 22, 2026: </w:t>
      </w:r>
      <w:r>
        <w:rPr>
          <w:rFonts w:ascii="Calibri" w:hAnsi="Calibri"/>
          <w:color w:val="525866"/>
          <w:sz w:val="22"/>
        </w:rPr>
        <w:t>Q1 2026 earnings beat; full-year guidance raised; stock indicated higher pre-market.</w:t>
      </w:r>
    </w:p>
    <w:p>
      <w:pPr>
        <w:pStyle w:val="ListBullet"/>
        <w:ind w:left="360" w:hanging="360"/>
      </w:pPr>
      <w:r>
        <w:rPr>
          <w:rFonts w:ascii="Calibri" w:hAnsi="Calibri"/>
          <w:b/>
          <w:color w:val="525866"/>
          <w:sz w:val="22"/>
        </w:rPr>
        <w:t xml:space="preserve">Post-Quarter: </w:t>
      </w:r>
      <w:r>
        <w:rPr>
          <w:rFonts w:ascii="Calibri" w:hAnsi="Calibri"/>
          <w:color w:val="525866"/>
          <w:sz w:val="22"/>
        </w:rPr>
        <w:t>$450M debt maturity payment made from cash on hand, reducing gross debt and leverage to five-year lows.</w:t>
      </w:r>
    </w:p>
    <w:p>
      <w:pPr>
        <w:pStyle w:val="ListBullet"/>
        <w:ind w:left="360" w:hanging="360"/>
      </w:pPr>
      <w:r>
        <w:rPr>
          <w:rFonts w:ascii="Calibri" w:hAnsi="Calibri"/>
          <w:b/>
          <w:color w:val="525866"/>
          <w:sz w:val="22"/>
        </w:rPr>
        <w:t xml:space="preserve">Ongoing: </w:t>
      </w:r>
      <w:r>
        <w:rPr>
          <w:rFonts w:ascii="Calibri" w:hAnsi="Calibri"/>
          <w:color w:val="525866"/>
          <w:sz w:val="22"/>
        </w:rPr>
        <w:t>No material post-earnings guidance revisions, analyst day, or 8-K guidance updates since April 22, 2026.</w:t>
      </w:r>
    </w:p>
    <w:p>
      <w:r>
        <w:rPr>
          <w:rFonts w:ascii="Calibri" w:hAnsi="Calibri"/>
          <w:b/>
          <w:color w:val="525866"/>
          <w:sz w:val="22"/>
        </w:rPr>
        <w:t xml:space="preserve">Note: </w:t>
      </w:r>
      <w:r>
        <w:rPr>
          <w:rFonts w:ascii="Calibri" w:hAnsi="Calibri"/>
          <w:color w:val="525866"/>
          <w:sz w:val="22"/>
        </w:rPr>
        <w:t>A stock performance chart (TDY vs. ITA ETF vs. S&amp;P 500, indexed to 100 at April 22, 2026) would typically be embedded here. The Aerospace &amp; Defense ETF (ITA) is the most appropriate sector benchmark given TDY’s defense revenue mix and Digital Imaging defense exposure.</w:t>
      </w:r>
    </w:p>
    <w:p>
      <w:r>
        <w:rPr>
          <w:rFonts w:ascii="Calibri" w:hAnsi="Calibri"/>
          <w:b/>
          <w:color w:val="525866"/>
          <w:sz w:val="22"/>
        </w:rPr>
        <w:t xml:space="preserve">Source: </w:t>
      </w:r>
      <w:r>
        <w:rPr>
          <w:rFonts w:ascii="Calibri" w:hAnsi="Calibri"/>
          <w:color w:val="525866"/>
          <w:sz w:val="22"/>
        </w:rPr>
        <w:t>Stock performance decomposition data from Implied platform (snapshot July 21, 2026, NTM consensus multiples).</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$450M post-quarter debt paydown, which further strengthens TDY’s balance sheet and M&amp;A optionality. The Iran conflict and European defense buildout are generating incremental order inquiries that management expects to accelerate over the next six months — a potential positive catalyst for the Q2 print.</w:t>
      </w:r>
    </w:p>
    <w:p>
      <w:pPr>
        <w:pStyle w:val="ListBullet"/>
        <w:ind w:left="360" w:hanging="360"/>
      </w:pPr>
      <w:r>
        <w:rPr>
          <w:rFonts w:ascii="Calibri" w:hAnsi="Calibri"/>
          <w:b/>
          <w:color w:val="525866"/>
          <w:sz w:val="22"/>
        </w:rPr>
        <w:t xml:space="preserve">April 22, 2026 — Q1 2026 Earnings Beat &amp; Guidance Raise: </w:t>
      </w:r>
      <w:r>
        <w:rPr>
          <w:rFonts w:ascii="Calibri" w:hAnsi="Calibri"/>
          <w:color w:val="525866"/>
          <w:sz w:val="22"/>
        </w:rPr>
        <w:t xml:space="preserve">Record Q1 sales ($1,560.1M, +7.6% YoY), non-GAAP EPS ($5.80, +17.2% YoY), and operating margin. Full-year non-GAAP EPS guidance raised to $23.85–$24.15 (from $23.45–$23.85). Book-to-bill of 1.16 overall (10th consecutive quarter above 1.0); Digital Imaging at 1.38. </w:t>
      </w:r>
      <w:r>
        <w:rPr>
          <w:rFonts w:ascii="Calibri" w:hAnsi="Calibri"/>
          <w:b/>
          <w:color w:val="525866"/>
          <w:sz w:val="22"/>
        </w:rPr>
        <w:t xml:space="preserve">Implication: </w:t>
      </w:r>
      <w:r>
        <w:rPr>
          <w:rFonts w:ascii="Calibri" w:hAnsi="Calibri"/>
          <w:color w:val="525866"/>
          <w:sz w:val="22"/>
        </w:rPr>
        <w:t>Sets a high bar for Q2 but also demonstrates management’s conservative guidance philosophy.</w:t>
      </w:r>
    </w:p>
    <w:p>
      <w:pPr>
        <w:pStyle w:val="ListBullet"/>
        <w:ind w:left="360" w:hanging="360"/>
      </w:pPr>
      <w:r>
        <w:rPr>
          <w:rFonts w:ascii="Calibri" w:hAnsi="Calibri"/>
          <w:b/>
          <w:color w:val="525866"/>
          <w:sz w:val="22"/>
        </w:rPr>
        <w:t xml:space="preserve">April 22, 2026 — DD-Scientific Acquisition: </w:t>
      </w:r>
      <w:r>
        <w:rPr>
          <w:rFonts w:ascii="Calibri" w:hAnsi="Calibri"/>
          <w:color w:val="525866"/>
          <w:sz w:val="22"/>
        </w:rPr>
        <w:t xml:space="preserve">Teledyne acquired DD-Scientific during Q1 2026, consistent with its tuck-in M&amp;A strategy. </w:t>
      </w:r>
      <w:r>
        <w:rPr>
          <w:rFonts w:ascii="Calibri" w:hAnsi="Calibri"/>
          <w:b/>
          <w:color w:val="525866"/>
          <w:sz w:val="22"/>
        </w:rPr>
        <w:t xml:space="preserve">Implication: </w:t>
      </w:r>
      <w:r>
        <w:rPr>
          <w:rFonts w:ascii="Calibri" w:hAnsi="Calibri"/>
          <w:color w:val="525866"/>
          <w:sz w:val="22"/>
        </w:rPr>
        <w:t>Modest near-term revenue contribution; reinforces active M&amp;A pipeline in instrumentation/sensing.</w:t>
      </w:r>
    </w:p>
    <w:p>
      <w:pPr>
        <w:pStyle w:val="ListBullet"/>
        <w:ind w:left="360" w:hanging="360"/>
      </w:pPr>
      <w:r>
        <w:rPr>
          <w:rFonts w:ascii="Calibri" w:hAnsi="Calibri"/>
          <w:b/>
          <w:color w:val="525866"/>
          <w:sz w:val="22"/>
        </w:rPr>
        <w:t xml:space="preserve">April 22, 2026 — Annual Meeting Governance Actions: </w:t>
      </w:r>
      <w:r>
        <w:rPr>
          <w:rFonts w:ascii="Calibri" w:hAnsi="Calibri"/>
          <w:color w:val="525866"/>
          <w:sz w:val="22"/>
        </w:rPr>
        <w:t xml:space="preserve">Shareholders approved amendment to allow 25% threshold for calling special meetings; Deloitte &amp; Touche LLP ratified as auditor for FY2026; Amended 2014 Incentive Award Plan approved (93%+ approval). </w:t>
      </w:r>
      <w:r>
        <w:rPr>
          <w:rFonts w:ascii="Calibri" w:hAnsi="Calibri"/>
          <w:b/>
          <w:color w:val="525866"/>
          <w:sz w:val="22"/>
        </w:rPr>
        <w:t xml:space="preserve">Implication: </w:t>
      </w:r>
      <w:r>
        <w:rPr>
          <w:rFonts w:ascii="Calibri" w:hAnsi="Calibri"/>
          <w:color w:val="525866"/>
          <w:sz w:val="22"/>
        </w:rPr>
        <w:t>Routine governance; no material impact on earnings setup.</w:t>
      </w:r>
    </w:p>
    <w:p>
      <w:pPr>
        <w:pStyle w:val="ListBullet"/>
        <w:ind w:left="360" w:hanging="360"/>
      </w:pPr>
      <w:r>
        <w:rPr>
          <w:rFonts w:ascii="Calibri" w:hAnsi="Calibri"/>
          <w:b/>
          <w:color w:val="525866"/>
          <w:sz w:val="22"/>
        </w:rPr>
        <w:t xml:space="preserve">Post-Q1 (April 2026) — $450M Debt Maturity Payment: </w:t>
      </w:r>
      <w:r>
        <w:rPr>
          <w:rFonts w:ascii="Calibri" w:hAnsi="Calibri"/>
          <w:color w:val="525866"/>
          <w:sz w:val="22"/>
        </w:rPr>
        <w:t xml:space="preserve">Teledyne made a $450M debt maturity payment primarily from cash on hand after quarter-end, further reducing gross debt. Net debt as of Q1 end was $1,954.9M (leverage 1.3x, five-year low). </w:t>
      </w:r>
      <w:r>
        <w:rPr>
          <w:rFonts w:ascii="Calibri" w:hAnsi="Calibri"/>
          <w:b/>
          <w:color w:val="525866"/>
          <w:sz w:val="22"/>
        </w:rPr>
        <w:t xml:space="preserve">Implication: </w:t>
      </w:r>
      <w:r>
        <w:rPr>
          <w:rFonts w:ascii="Calibri" w:hAnsi="Calibri"/>
          <w:color w:val="525866"/>
          <w:sz w:val="22"/>
        </w:rPr>
        <w:t>Strengthens balance sheet flexibility for M&amp;A; reduces interest expense headwind; signals strong free cash flow generation.</w:t>
      </w:r>
    </w:p>
    <w:p>
      <w:pPr>
        <w:pStyle w:val="ListBullet"/>
        <w:ind w:left="360" w:hanging="360"/>
      </w:pPr>
      <w:r>
        <w:rPr>
          <w:rFonts w:ascii="Calibri" w:hAnsi="Calibri"/>
          <w:b/>
          <w:color w:val="525866"/>
          <w:sz w:val="22"/>
        </w:rPr>
        <w:t xml:space="preserve">Ongoing — Iran Conflict &amp; European Defense Buildout: </w:t>
      </w:r>
      <w:r>
        <w:rPr>
          <w:rFonts w:ascii="Calibri" w:hAnsi="Calibri"/>
          <w:color w:val="525866"/>
          <w:sz w:val="22"/>
        </w:rPr>
        <w:t xml:space="preserve">Management explicitly cited the 2026 U.S.-Iran conflict as generating incremental order inquiries across drones, counter-drone, and underwater vehicles. European NATO allies accelerating defense spending. </w:t>
      </w:r>
      <w:r>
        <w:rPr>
          <w:rFonts w:ascii="Calibri" w:hAnsi="Calibri"/>
          <w:b/>
          <w:color w:val="525866"/>
          <w:sz w:val="22"/>
        </w:rPr>
        <w:t xml:space="preserve">Implication: </w:t>
      </w:r>
      <w:r>
        <w:rPr>
          <w:rFonts w:ascii="Calibri" w:hAnsi="Calibri"/>
          <w:color w:val="525866"/>
          <w:sz w:val="22"/>
        </w:rPr>
        <w:t>Potential pull-forward of defense orders into Q2/Q3 2026; management expects defense order acceleration over the next six months.</w:t>
      </w:r>
    </w:p>
    <w:p>
      <w:pPr>
        <w:pStyle w:val="ListBullet"/>
        <w:ind w:left="360" w:hanging="360"/>
      </w:pPr>
      <w:r>
        <w:rPr>
          <w:rFonts w:ascii="Calibri" w:hAnsi="Calibri"/>
          <w:b/>
          <w:color w:val="525866"/>
          <w:sz w:val="22"/>
        </w:rPr>
        <w:t xml:space="preserve">Ongoing — Undisclosed Government Capacity Investment: </w:t>
      </w:r>
      <w:r>
        <w:rPr>
          <w:rFonts w:ascii="Calibri" w:hAnsi="Calibri"/>
          <w:color w:val="525866"/>
          <w:sz w:val="22"/>
        </w:rPr>
        <w:t xml:space="preserve">Management noted on the Q1 call that the government is investing in Teledyne’s capacity in certain areas (unannounced). </w:t>
      </w:r>
      <w:r>
        <w:rPr>
          <w:rFonts w:ascii="Calibri" w:hAnsi="Calibri"/>
          <w:b/>
          <w:color w:val="525866"/>
          <w:sz w:val="22"/>
        </w:rPr>
        <w:t xml:space="preserve">Implication: </w:t>
      </w:r>
      <w:r>
        <w:rPr>
          <w:rFonts w:ascii="Calibri" w:hAnsi="Calibri"/>
          <w:color w:val="525866"/>
          <w:sz w:val="22"/>
        </w:rPr>
        <w:t>Potential significant contract announcement; could be a positive catalyst at or after Q2 earnings.</w:t>
      </w:r>
    </w:p>
    <w:p>
      <w:pPr>
        <w:pStyle w:val="ListBullet"/>
        <w:ind w:left="360" w:hanging="360"/>
      </w:pPr>
      <w:r>
        <w:rPr>
          <w:rFonts w:ascii="Calibri" w:hAnsi="Calibri"/>
          <w:b/>
          <w:color w:val="525866"/>
          <w:sz w:val="22"/>
        </w:rPr>
        <w:t xml:space="preserve">Ongoing — Elevated CapEx &amp; R&amp;D Investment: </w:t>
      </w:r>
      <w:r>
        <w:rPr>
          <w:rFonts w:ascii="Calibri" w:hAnsi="Calibri"/>
          <w:color w:val="525866"/>
          <w:sz w:val="22"/>
        </w:rPr>
        <w:t xml:space="preserve">Q1 2026 CapEx of $29.7M vs. $18.0M in Q1 2025 (+65% YoY). R&amp;D spending also stepped up materially. Management described this organic investment posture as unusual for this point in the year, reflecting demand exceeding current capacity in certain areas. </w:t>
      </w:r>
      <w:r>
        <w:rPr>
          <w:rFonts w:ascii="Calibri" w:hAnsi="Calibri"/>
          <w:b/>
          <w:color w:val="525866"/>
          <w:sz w:val="22"/>
        </w:rPr>
        <w:t xml:space="preserve">Implication: </w:t>
      </w:r>
      <w:r>
        <w:rPr>
          <w:rFonts w:ascii="Calibri" w:hAnsi="Calibri"/>
          <w:color w:val="525866"/>
          <w:sz w:val="22"/>
        </w:rPr>
        <w:t>Near-term FCF headwind but signals management confidence in sustained demand; watch for Q2 CapEx commentary.</w:t>
      </w:r>
    </w:p>
    <w:p>
      <w:pPr>
        <w:pStyle w:val="ListBullet"/>
        <w:ind w:left="360" w:hanging="360"/>
      </w:pPr>
      <w:r>
        <w:rPr>
          <w:rFonts w:ascii="Calibri" w:hAnsi="Calibri"/>
          <w:b/>
          <w:color w:val="525866"/>
          <w:sz w:val="22"/>
        </w:rPr>
        <w:t xml:space="preserve">Ongoing — Shareholder Right to Call Special Meetings: </w:t>
      </w:r>
      <w:r>
        <w:rPr>
          <w:rFonts w:ascii="Calibri" w:hAnsi="Calibri"/>
          <w:color w:val="525866"/>
          <w:sz w:val="22"/>
        </w:rPr>
        <w:t xml:space="preserve">Shareholders approved (87%+ of outstanding shares) an amendment allowing 25% of shareholders to call special meetings. </w:t>
      </w:r>
      <w:r>
        <w:rPr>
          <w:rFonts w:ascii="Calibri" w:hAnsi="Calibri"/>
          <w:b/>
          <w:color w:val="525866"/>
          <w:sz w:val="22"/>
        </w:rPr>
        <w:t xml:space="preserve">Implication: </w:t>
      </w:r>
      <w:r>
        <w:rPr>
          <w:rFonts w:ascii="Calibri" w:hAnsi="Calibri"/>
          <w:color w:val="525866"/>
          <w:sz w:val="22"/>
        </w:rPr>
        <w:t>Governance improvement; no near-term earnings impact.</w:t>
      </w:r>
    </w:p>
    <w:p>
      <w:r>
        <w:br w:type="page"/>
      </w:r>
    </w:p>
    <w:p>
      <w:pPr>
        <w:pStyle w:val="Heading1"/>
        <w:pBdr>
          <w:bottom w:val="single" w:sz="4" w:space="1" w:color="FB9120"/>
        </w:pBdr>
      </w:pPr>
      <w:r>
        <w:rPr>
          <w:rFonts w:ascii="Calibri" w:hAnsi="Calibri"/>
          <w:b/>
          <w:color w:val="3B4259"/>
          <w:sz w:val="40"/>
        </w:rPr>
        <w:t>7. Insider Transaction Activity</w:t>
      </w:r>
    </w:p>
    <w:p>
      <w:r>
        <w:rPr>
          <w:rFonts w:ascii="Calibri" w:hAnsi="Calibri"/>
          <w:b/>
          <w:color w:val="525866"/>
          <w:sz w:val="22"/>
        </w:rPr>
        <w:t xml:space="preserve">Key Takeaway: </w:t>
      </w:r>
      <w:r>
        <w:rPr>
          <w:rFonts w:ascii="Calibri" w:hAnsi="Calibri"/>
          <w:color w:val="525866"/>
          <w:sz w:val="22"/>
        </w:rPr>
        <w:t>No open-market insider purchases or sales (Form 4 codes P/S) were identified for TDY in the period from April 22, 2026 through July 21, 2026. The absence of insider selling ahead of earnings is a neutral-to-mildly-positive signal, consistent with management’s confident tone on the Q1 call.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No open-market transactions identified in the period April 22 – July 21, 2026</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No Form 4 open-market buys (code P) or sells (code S) found in SEC filings database for this period</w:t>
            </w:r>
          </w:p>
        </w:tc>
      </w:tr>
    </w:tbl>
    <w:p>
      <w:r>
        <w:rPr>
          <w:rFonts w:ascii="Calibri" w:hAnsi="Calibri"/>
          <w:b/>
          <w:color w:val="525866"/>
          <w:sz w:val="22"/>
        </w:rPr>
        <w:t xml:space="preserve">Note: </w:t>
      </w:r>
      <w:r>
        <w:rPr>
          <w:rFonts w:ascii="Calibri" w:hAnsi="Calibri"/>
          <w:color w:val="525866"/>
          <w:sz w:val="22"/>
        </w:rPr>
        <w:t>Only open-market buys (Form 4 code P) and open-market sells (Form 4 code S) are included. Routine equity award grants, option exercises, and tax-withholding dispositions are excluded. The absence of discretionary insider selling in the 90 days ahead of earnings is consistent with management’s constructive tone and does not raise any red flags.</w:t>
      </w:r>
    </w:p>
    <w:p>
      <w:r>
        <w:br w:type="page"/>
      </w:r>
    </w:p>
    <w:p>
      <w:pPr>
        <w:pStyle w:val="Heading1"/>
        <w:pBdr>
          <w:bottom w:val="single" w:sz="4" w:space="1" w:color="FB9120"/>
        </w:pBdr>
      </w:pPr>
      <w:r>
        <w:rPr>
          <w:rFonts w:ascii="Calibri" w:hAnsi="Calibri"/>
          <w:b/>
          <w:color w:val="3B4259"/>
          <w:sz w:val="40"/>
        </w:rPr>
        <w:t>8. Peer Commentary &amp; Read-Through</w:t>
      </w:r>
    </w:p>
    <w:p>
      <w:r>
        <w:rPr>
          <w:rFonts w:ascii="Calibri" w:hAnsi="Calibri"/>
          <w:b/>
          <w:color w:val="525866"/>
          <w:sz w:val="22"/>
        </w:rPr>
        <w:t xml:space="preserve">Screening Rule: </w:t>
      </w:r>
      <w:r>
        <w:rPr>
          <w:rFonts w:ascii="Calibri" w:hAnsi="Calibri"/>
          <w:color w:val="525866"/>
          <w:sz w:val="22"/>
        </w:rPr>
        <w:t xml:space="preserve">Only forward-looking commentary applicable to each peer’s </w:t>
      </w:r>
      <w:r>
        <w:rPr>
          <w:rFonts w:ascii="Calibri" w:hAnsi="Calibri"/>
          <w:b/>
          <w:color w:val="525866"/>
          <w:sz w:val="22"/>
          <w:u w:val="single"/>
        </w:rPr>
        <w:t>current reporting quarter</w:t>
      </w:r>
      <w:r>
        <w:rPr>
          <w:rFonts w:ascii="Calibri" w:hAnsi="Calibri"/>
          <w:color w:val="525866"/>
          <w:sz w:val="22"/>
        </w:rPr>
        <w:t xml:space="preserve"> (i.e., the quarter ending June 30, 2026, which aligns with TDY’s Q2 2026) or post-earnings commentary issued after each peer’s last earnings call is included. Retrospective discussion of peers’ already-reported quarters is excluded. All commentary below was sourced from earnings calls, earnings releases, and investor conferences held between April 22, 2026 and July 21, 2026.</w:t>
      </w:r>
    </w:p>
    <w:p>
      <w:r>
        <w:rPr>
          <w:rFonts w:ascii="Calibri" w:hAnsi="Calibri"/>
          <w:b/>
          <w:color w:val="525866"/>
          <w:sz w:val="22"/>
        </w:rPr>
        <w:t xml:space="preserve">Key Takeaway: </w:t>
      </w:r>
      <w:r>
        <w:rPr>
          <w:rFonts w:ascii="Calibri" w:hAnsi="Calibri"/>
          <w:color w:val="525866"/>
          <w:sz w:val="22"/>
        </w:rPr>
        <w:t xml:space="preserve">Peer commentary is broadly and consistently positive across TDY’s four key end markets — defense/unmanned systems, aerospace/space, semiconductor/digital imaging, and industrial instrumentation. </w:t>
      </w:r>
      <w:r>
        <w:rPr>
          <w:rFonts w:ascii="Calibri" w:hAnsi="Calibri"/>
          <w:b/>
          <w:color w:val="525866"/>
          <w:sz w:val="22"/>
        </w:rPr>
        <w:t>The most actionable read-throughs are HEICO’s ‘multiyear tail’ defense commentary and record order book, AVAV’s ‘unprecedented demand’ for drones and counter-UAS, KEYS’ record bookings across AI/defense/semiconductor, and MKSI’s 25%+ YoY semiconductor revenue growth guidance for Q2 2026.</w:t>
      </w:r>
      <w:r>
        <w:rPr>
          <w:rFonts w:ascii="Calibri" w:hAnsi="Calibri"/>
          <w:color w:val="525866"/>
          <w:sz w:val="22"/>
        </w:rPr>
        <w:t xml:space="preserve"> The one nuance: AVAV flagged government funding timing uncertainty (budget likely not approved until Dec/Jan, funds reaching customers ~March), which could create lumpiness in defense order conversion in the near term.</w:t>
      </w:r>
    </w:p>
    <w:p>
      <w:pPr>
        <w:pStyle w:val="Heading2"/>
      </w:pPr>
      <w:r>
        <w:rPr>
          <w:rFonts w:ascii="Calibri" w:hAnsi="Calibri"/>
          <w:b/>
          <w:color w:val="3B4259"/>
          <w:sz w:val="28"/>
        </w:rPr>
        <w:t>8.1 Defense &amp; Unmanned Systems Read-Throughs</w:t>
      </w:r>
    </w:p>
    <w:p>
      <w:pPr>
        <w:pStyle w:val="Heading3"/>
      </w:pPr>
      <w:r>
        <w:rPr>
          <w:rFonts w:ascii="Calibri" w:hAnsi="Calibri"/>
          <w:b/>
          <w:color w:val="3B4259"/>
          <w:sz w:val="24"/>
        </w:rPr>
        <w:t>HEICO Corporation (HEI) — Q2 FY2026 Earnings Call (May 28, 2026)</w:t>
      </w:r>
    </w:p>
    <w:p>
      <w:r>
        <w:rPr>
          <w:rFonts w:ascii="Calibri" w:hAnsi="Calibri"/>
          <w:b/>
          <w:color w:val="525866"/>
          <w:sz w:val="22"/>
        </w:rPr>
        <w:t xml:space="preserve">Applicability: </w:t>
      </w:r>
      <w:r>
        <w:rPr>
          <w:rFonts w:ascii="Calibri" w:hAnsi="Calibri"/>
          <w:color w:val="525866"/>
          <w:sz w:val="22"/>
        </w:rPr>
        <w:t>Forward-looking commentary for HEICO’s remainder of FY2026 and beyond, issued May 28, 2026. Directly applicable to TDY’s Q2 2026 period.</w:t>
      </w:r>
    </w:p>
    <w:p>
      <w:r>
        <w:rPr>
          <w:rFonts w:ascii="Calibri" w:hAnsi="Calibri"/>
          <w:b/>
          <w:color w:val="30A46C"/>
          <w:sz w:val="22"/>
        </w:rPr>
        <w:t xml:space="preserve">Read-Through Signal: </w:t>
      </w:r>
      <w:r>
        <w:rPr>
          <w:rFonts w:ascii="Calibri" w:hAnsi="Calibri"/>
          <w:color w:val="525866"/>
          <w:sz w:val="22"/>
        </w:rPr>
        <w:t xml:space="preserve"> Strongly Positive for TDY Defense &amp; Digital Imaging</w:t>
      </w:r>
    </w:p>
    <w:p>
      <w:pPr>
        <w:pStyle w:val="ListBullet"/>
        <w:ind w:left="360" w:hanging="360"/>
      </w:pPr>
      <w:r>
        <w:rPr>
          <w:rFonts w:ascii="Calibri" w:hAnsi="Calibri"/>
          <w:b/>
          <w:color w:val="525866"/>
          <w:sz w:val="22"/>
        </w:rPr>
        <w:t xml:space="preserve">Defense — Multiyear Tail: </w:t>
      </w:r>
      <w:r>
        <w:rPr>
          <w:rFonts w:ascii="Calibri" w:hAnsi="Calibri"/>
          <w:color w:val="525866"/>
          <w:sz w:val="22"/>
        </w:rPr>
        <w:t xml:space="preserve">HEICO’s Victor Mendelson stated: “Our country and its allies have recognized the need to invest more in defense and to replace depleted stocks. We are now experiencing this in our defense sales, in our defense orders and our defense backlog. We expect this to continue and to have a </w:t>
      </w:r>
      <w:r>
        <w:rPr>
          <w:rFonts w:ascii="Calibri" w:hAnsi="Calibri"/>
          <w:b/>
          <w:color w:val="525866"/>
          <w:sz w:val="22"/>
        </w:rPr>
        <w:t>multiyear tail</w:t>
      </w:r>
      <w:r>
        <w:rPr>
          <w:rFonts w:ascii="Calibri" w:hAnsi="Calibri"/>
          <w:color w:val="525866"/>
          <w:sz w:val="22"/>
        </w:rPr>
        <w:t xml:space="preserve"> for which we are very well prepared.” Customers are asking “how can you 6x, how can you 4x? How can you 10x your production of certain components?” — a direct read-through for TDY’s defense electronics and unmanned systems capacity investment.</w:t>
      </w:r>
    </w:p>
    <w:p>
      <w:pPr>
        <w:pStyle w:val="ListBullet"/>
        <w:ind w:left="360" w:hanging="360"/>
      </w:pPr>
      <w:r>
        <w:rPr>
          <w:rFonts w:ascii="Calibri" w:hAnsi="Calibri"/>
          <w:b/>
          <w:color w:val="525866"/>
          <w:sz w:val="22"/>
        </w:rPr>
        <w:t xml:space="preserve">Unmanned Systems: </w:t>
      </w:r>
      <w:r>
        <w:rPr>
          <w:rFonts w:ascii="Calibri" w:hAnsi="Calibri"/>
          <w:color w:val="525866"/>
          <w:sz w:val="22"/>
        </w:rPr>
        <w:t>Eric Mendelson confirmed HEICO is “very active in the drone and the unmanned missile business” and that it “continues to remain very strong.” This corroborates TDY’s own commentary on accelerating unmanned systems demand.</w:t>
      </w:r>
    </w:p>
    <w:p>
      <w:pPr>
        <w:pStyle w:val="ListBullet"/>
        <w:ind w:left="360" w:hanging="360"/>
      </w:pPr>
      <w:r>
        <w:rPr>
          <w:rFonts w:ascii="Calibri" w:hAnsi="Calibri"/>
          <w:b/>
          <w:color w:val="525866"/>
          <w:sz w:val="22"/>
        </w:rPr>
        <w:t xml:space="preserve">Record Orders &amp; Backlog: </w:t>
      </w:r>
      <w:r>
        <w:rPr>
          <w:rFonts w:ascii="Calibri" w:hAnsi="Calibri"/>
          <w:color w:val="525866"/>
          <w:sz w:val="22"/>
        </w:rPr>
        <w:t>Orders at “record or near record levels” across commercial aviation, defense, and space. ETG (Electronic Technologies Group) has “a very strong order book. It continues to grow.” Record backlogs and record orders in space. Demand has not decelerated since the quarter (with a slight exception in the Middle East).</w:t>
      </w:r>
    </w:p>
    <w:p>
      <w:pPr>
        <w:pStyle w:val="ListBullet"/>
        <w:ind w:left="360" w:hanging="360"/>
      </w:pPr>
      <w:r>
        <w:rPr>
          <w:rFonts w:ascii="Calibri" w:hAnsi="Calibri"/>
          <w:b/>
          <w:color w:val="525866"/>
          <w:sz w:val="22"/>
        </w:rPr>
        <w:t xml:space="preserve">Space: </w:t>
      </w:r>
      <w:r>
        <w:rPr>
          <w:rFonts w:ascii="Calibri" w:hAnsi="Calibri"/>
          <w:color w:val="525866"/>
          <w:sz w:val="22"/>
        </w:rPr>
        <w:t>HEICO’s space business has “record backlogs and record orders,” with presence growing in both new and traditional space programs. Directly relevant to TDY’s infrared detector and space-based sensor business within Digital Imaging.</w:t>
      </w:r>
    </w:p>
    <w:p>
      <w:pPr>
        <w:pStyle w:val="ListBullet"/>
        <w:ind w:left="360" w:hanging="360"/>
      </w:pPr>
      <w:r>
        <w:rPr>
          <w:rFonts w:ascii="Calibri" w:hAnsi="Calibri"/>
          <w:b/>
          <w:color w:val="525866"/>
          <w:sz w:val="22"/>
        </w:rPr>
        <w:t xml:space="preserve">Margins: </w:t>
      </w:r>
      <w:r>
        <w:rPr>
          <w:rFonts w:ascii="Calibri" w:hAnsi="Calibri"/>
          <w:color w:val="525866"/>
          <w:sz w:val="22"/>
        </w:rPr>
        <w:t>ETG GAAP operating margins expected at 22%–24% for FY2026, with CFO noting “if we continue to catch this high growth, we’ll probably be towards the high end of the overall range.” Flight Support Group margins guided to 24%–26%. Positive read-through for TDY’s segment margin trajectory.</w:t>
      </w:r>
    </w:p>
    <w:p>
      <w:pPr>
        <w:pStyle w:val="ListBullet"/>
        <w:ind w:left="360" w:hanging="360"/>
      </w:pPr>
      <w:r>
        <w:rPr>
          <w:rFonts w:ascii="Calibri" w:hAnsi="Calibri"/>
          <w:b/>
          <w:color w:val="525866"/>
          <w:sz w:val="22"/>
        </w:rPr>
        <w:t xml:space="preserve">Acquisition Pipeline: </w:t>
      </w:r>
      <w:r>
        <w:rPr>
          <w:rFonts w:ascii="Calibri" w:hAnsi="Calibri"/>
          <w:color w:val="525866"/>
          <w:sz w:val="22"/>
        </w:rPr>
        <w:t>HEICO’s acquisition activity “remains robust” with a “healthy pipeline of potential opportunities.” Consistent with TDY’s own commentary on tuck-in M&amp;A and carve-out opportunities.</w:t>
      </w:r>
    </w:p>
    <w:p>
      <w:r>
        <w:rPr>
          <w:rFonts w:ascii="Calibri" w:hAnsi="Calibri"/>
          <w:b/>
          <w:color w:val="525866"/>
          <w:sz w:val="22"/>
        </w:rPr>
        <w:t xml:space="preserve">TDY Implication: </w:t>
      </w:r>
      <w:r>
        <w:rPr>
          <w:rFonts w:ascii="Calibri" w:hAnsi="Calibri"/>
          <w:color w:val="525866"/>
          <w:sz w:val="22"/>
        </w:rPr>
        <w:t>HEICO’s commentary is one of the strongest positive read-throughs for TDY’s Q2 2026 print. The combination of record defense orders, multiyear demand tail, and accelerating space/unmanned systems demand directly validates TDY’s Q1 2026 book-to-bill of 1.38 in Digital Imaging and management’s expectation of further defense order acceleration over the next six months.</w:t>
      </w:r>
    </w:p>
    <w:p>
      <w:pPr>
        <w:pStyle w:val="Heading3"/>
      </w:pPr>
      <w:r>
        <w:rPr>
          <w:rFonts w:ascii="Calibri" w:hAnsi="Calibri"/>
          <w:b/>
          <w:color w:val="3B4259"/>
          <w:sz w:val="24"/>
        </w:rPr>
        <w:t>AeroVironment (AVAV) — Q4 FY2026 Earnings Call (June 29, 2026) &amp; Investor Day (July 8, 2026)</w:t>
      </w:r>
    </w:p>
    <w:p>
      <w:r>
        <w:rPr>
          <w:rFonts w:ascii="Calibri" w:hAnsi="Calibri"/>
          <w:b/>
          <w:color w:val="525866"/>
          <w:sz w:val="22"/>
        </w:rPr>
        <w:t xml:space="preserve">Applicability: </w:t>
      </w:r>
      <w:r>
        <w:rPr>
          <w:rFonts w:ascii="Calibri" w:hAnsi="Calibri"/>
          <w:color w:val="525866"/>
          <w:sz w:val="22"/>
        </w:rPr>
        <w:t>Forward-looking commentary for AVAV’s FY2027 (beginning May 2026), issued June 29, 2026 and July 8, 2026. Applicable to TDY’s Q2 2026 and beyond.</w:t>
      </w:r>
    </w:p>
    <w:p>
      <w:r>
        <w:rPr>
          <w:rFonts w:ascii="Calibri" w:hAnsi="Calibri"/>
          <w:b/>
          <w:color w:val="30A46C"/>
          <w:sz w:val="22"/>
        </w:rPr>
        <w:t xml:space="preserve">Read-Through Signal: </w:t>
      </w:r>
      <w:r>
        <w:rPr>
          <w:rFonts w:ascii="Calibri" w:hAnsi="Calibri"/>
          <w:color w:val="525866"/>
          <w:sz w:val="22"/>
        </w:rPr>
        <w:t xml:space="preserve"> Strongly Positive for TDY Defense/Unmanned Systems; Mixed on Near-Term Government Funding Timing</w:t>
      </w:r>
    </w:p>
    <w:p>
      <w:pPr>
        <w:pStyle w:val="ListBullet"/>
        <w:ind w:left="360" w:hanging="360"/>
      </w:pPr>
      <w:r>
        <w:rPr>
          <w:rFonts w:ascii="Calibri" w:hAnsi="Calibri"/>
          <w:b/>
          <w:color w:val="525866"/>
          <w:sz w:val="22"/>
        </w:rPr>
        <w:t xml:space="preserve">Unprecedented Demand: </w:t>
      </w:r>
      <w:r>
        <w:rPr>
          <w:rFonts w:ascii="Calibri" w:hAnsi="Calibri"/>
          <w:color w:val="525866"/>
          <w:sz w:val="22"/>
        </w:rPr>
        <w:t xml:space="preserve">AVAV CEO stated: “AV is very well positioned for these </w:t>
      </w:r>
      <w:r>
        <w:rPr>
          <w:rFonts w:ascii="Calibri" w:hAnsi="Calibri"/>
          <w:b/>
          <w:color w:val="525866"/>
          <w:sz w:val="22"/>
        </w:rPr>
        <w:t>unprecedented levels of demand</w:t>
      </w:r>
      <w:r>
        <w:rPr>
          <w:rFonts w:ascii="Calibri" w:hAnsi="Calibri"/>
          <w:color w:val="525866"/>
          <w:sz w:val="22"/>
        </w:rPr>
        <w:t xml:space="preserve"> in our served markets.” Total year-to-date bookings of $2.7B, with “strong customer indications that our solutions will receive significant contract wins in the next 12 to 24 months.” Directly validates TDY’s defense demand narrative.</w:t>
      </w:r>
    </w:p>
    <w:p>
      <w:pPr>
        <w:pStyle w:val="ListBullet"/>
        <w:ind w:left="360" w:hanging="360"/>
      </w:pPr>
      <w:r>
        <w:rPr>
          <w:rFonts w:ascii="Calibri" w:hAnsi="Calibri"/>
          <w:b/>
          <w:color w:val="525866"/>
          <w:sz w:val="22"/>
        </w:rPr>
        <w:t xml:space="preserve">Lethal Drones &amp; Counter-UAS: </w:t>
      </w:r>
      <w:r>
        <w:rPr>
          <w:rFonts w:ascii="Calibri" w:hAnsi="Calibri"/>
          <w:color w:val="525866"/>
          <w:sz w:val="22"/>
        </w:rPr>
        <w:t>AVAV is expanding Switchblade production (Salt Lake City facility capable of &gt;$2B/year), scaling Red Dragon (anticipating “significant increased demand”), and transitioning Locust directed energy to full-rate production (“billion to multi-billion dollar market opportunity over the next five-plus years”). FAA cleared directed energy systems for domestic national airspace in early May 2026. Highly relevant to TDY’s counter-drone and unmanned systems businesses.</w:t>
      </w:r>
    </w:p>
    <w:p>
      <w:pPr>
        <w:pStyle w:val="ListBullet"/>
        <w:ind w:left="360" w:hanging="360"/>
      </w:pPr>
      <w:r>
        <w:rPr>
          <w:rFonts w:ascii="Calibri" w:hAnsi="Calibri"/>
          <w:b/>
          <w:color w:val="525866"/>
          <w:sz w:val="22"/>
        </w:rPr>
        <w:t xml:space="preserve">Space &amp; Optical Communications: </w:t>
      </w:r>
      <w:r>
        <w:rPr>
          <w:rFonts w:ascii="Calibri" w:hAnsi="Calibri"/>
          <w:color w:val="525866"/>
          <w:sz w:val="22"/>
        </w:rPr>
        <w:t>AVAV was awarded a $240M contract for long-haul laser communication terminals to be deployed on orbit. Expects “the vast, vast majority” of satellites to be upgraded with laser optical communication capability. Directly relevant to TDY’s space-based sensor and optical component businesses.</w:t>
      </w:r>
    </w:p>
    <w:p>
      <w:pPr>
        <w:pStyle w:val="ListBullet"/>
        <w:ind w:left="360" w:hanging="360"/>
      </w:pPr>
      <w:r>
        <w:rPr>
          <w:rFonts w:ascii="Calibri" w:hAnsi="Calibri"/>
          <w:b/>
          <w:color w:val="525866"/>
          <w:sz w:val="22"/>
        </w:rPr>
        <w:t xml:space="preserve">Government Funding Timing — Key Risk: </w:t>
      </w:r>
      <w:r>
        <w:rPr>
          <w:rFonts w:ascii="Calibri" w:hAnsi="Calibri"/>
          <w:color w:val="525866"/>
          <w:sz w:val="22"/>
        </w:rPr>
        <w:t xml:space="preserve">AVAV flagged that the U.S. government FY2027 budget is unlikely to be approved until December/January, with funds reaching customers around March 2027. This implies a 45/55 first-half/second-half revenue split for AVAV. </w:t>
      </w:r>
      <w:r>
        <w:rPr>
          <w:rFonts w:ascii="Calibri" w:hAnsi="Calibri"/>
          <w:b/>
          <w:color w:val="525866"/>
          <w:sz w:val="22"/>
        </w:rPr>
        <w:t xml:space="preserve">Read-through for TDY: </w:t>
      </w:r>
      <w:r>
        <w:rPr>
          <w:rFonts w:ascii="Calibri" w:hAnsi="Calibri"/>
          <w:color w:val="525866"/>
          <w:sz w:val="22"/>
        </w:rPr>
        <w:t xml:space="preserve"> While long-term demand is strong, near-term defense order conversion may be lumpy due to continuing resolution dynamics. TDY’s Q2 2026 defense revenue could face similar timing headwinds, though TDY’s backlog visibility (book-to-bill 1.16 overall) provides a buffer.</w:t>
      </w:r>
    </w:p>
    <w:p>
      <w:pPr>
        <w:pStyle w:val="ListBullet"/>
        <w:ind w:left="360" w:hanging="360"/>
      </w:pPr>
      <w:r>
        <w:rPr>
          <w:rFonts w:ascii="Calibri" w:hAnsi="Calibri"/>
          <w:b/>
          <w:color w:val="525866"/>
          <w:sz w:val="22"/>
        </w:rPr>
        <w:t xml:space="preserve">International Expansion: </w:t>
      </w:r>
      <w:r>
        <w:rPr>
          <w:rFonts w:ascii="Calibri" w:hAnsi="Calibri"/>
          <w:color w:val="525866"/>
          <w:sz w:val="22"/>
        </w:rPr>
        <w:t>AVAV is investing in international sales capacity, citing “compelling and strong” demand from Asia Pacific. Consistent with TDY’s European defense buildout commentary.</w:t>
      </w:r>
    </w:p>
    <w:p>
      <w:pPr>
        <w:pStyle w:val="ListBullet"/>
        <w:ind w:left="360" w:hanging="360"/>
      </w:pPr>
      <w:r>
        <w:rPr>
          <w:rFonts w:ascii="Calibri" w:hAnsi="Calibri"/>
          <w:b/>
          <w:color w:val="525866"/>
          <w:sz w:val="22"/>
        </w:rPr>
        <w:t xml:space="preserve">CapEx Investment: </w:t>
      </w:r>
      <w:r>
        <w:rPr>
          <w:rFonts w:ascii="Calibri" w:hAnsi="Calibri"/>
          <w:color w:val="525866"/>
          <w:sz w:val="22"/>
        </w:rPr>
        <w:t>AVAV investing 12%–14% of revenue in CapEx for production capacity expansion across multiple facilities. Corroborates TDY’s own elevated CapEx posture in Q1 2026 (+65% YoY) as a demand-driven investment, not a sign of distress.</w:t>
      </w:r>
    </w:p>
    <w:p>
      <w:r>
        <w:rPr>
          <w:rFonts w:ascii="Calibri" w:hAnsi="Calibri"/>
          <w:b/>
          <w:color w:val="525866"/>
          <w:sz w:val="22"/>
        </w:rPr>
        <w:t xml:space="preserve">TDY Implication: </w:t>
      </w:r>
      <w:r>
        <w:rPr>
          <w:rFonts w:ascii="Calibri" w:hAnsi="Calibri"/>
          <w:color w:val="525866"/>
          <w:sz w:val="22"/>
        </w:rPr>
        <w:t>AVAV’s commentary is the most directly relevant peer read-through for TDY’s unmanned systems and counter-drone businesses. The ‘unprecedented demand’ language and $2.7B backlog validate TDY’s own defense demand narrative. The government funding timing risk is the key nuance — watch for TDY management commentary on whether Q2 defense orders were impacted by continuing resolution dynamics.</w:t>
      </w:r>
    </w:p>
    <w:p>
      <w:pPr>
        <w:pStyle w:val="Heading3"/>
      </w:pPr>
      <w:r>
        <w:rPr>
          <w:rFonts w:ascii="Calibri" w:hAnsi="Calibri"/>
          <w:b/>
          <w:color w:val="3B4259"/>
          <w:sz w:val="24"/>
        </w:rPr>
        <w:t>Howmet Aerospace (HWM) — Bernstein Strategic Decisions Conference (May 27, 2026)</w:t>
      </w:r>
    </w:p>
    <w:p>
      <w:r>
        <w:rPr>
          <w:rFonts w:ascii="Calibri" w:hAnsi="Calibri"/>
          <w:b/>
          <w:color w:val="525866"/>
          <w:sz w:val="22"/>
        </w:rPr>
        <w:t xml:space="preserve">Applicability: </w:t>
      </w:r>
      <w:r>
        <w:rPr>
          <w:rFonts w:ascii="Calibri" w:hAnsi="Calibri"/>
          <w:color w:val="525866"/>
          <w:sz w:val="22"/>
        </w:rPr>
        <w:t>Forward-looking commentary for HWM’s current and upcoming quarters, issued May 27, 2026. Applicable to TDY’s Q2 2026 period.</w:t>
      </w:r>
    </w:p>
    <w:p>
      <w:r>
        <w:rPr>
          <w:rFonts w:ascii="Calibri" w:hAnsi="Calibri"/>
          <w:b/>
          <w:color w:val="30A46C"/>
          <w:sz w:val="22"/>
        </w:rPr>
        <w:t xml:space="preserve">Read-Through Signal: </w:t>
      </w:r>
      <w:r>
        <w:rPr>
          <w:rFonts w:ascii="Calibri" w:hAnsi="Calibri"/>
          <w:color w:val="525866"/>
          <w:sz w:val="22"/>
        </w:rPr>
        <w:t xml:space="preserve"> Positive for TDY Defense, Aerospace, and Industrial Segments</w:t>
      </w:r>
    </w:p>
    <w:p>
      <w:pPr>
        <w:pStyle w:val="ListBullet"/>
        <w:ind w:left="360" w:hanging="360"/>
      </w:pPr>
      <w:r>
        <w:rPr>
          <w:rFonts w:ascii="Calibri" w:hAnsi="Calibri"/>
          <w:b/>
          <w:color w:val="525866"/>
          <w:sz w:val="22"/>
        </w:rPr>
        <w:t xml:space="preserve">Defense Budget Solid: </w:t>
      </w:r>
      <w:r>
        <w:rPr>
          <w:rFonts w:ascii="Calibri" w:hAnsi="Calibri"/>
          <w:color w:val="525866"/>
          <w:sz w:val="22"/>
        </w:rPr>
        <w:t>HWM CEO John Plant stated “the defense budget seemed to be solid” and identified an “opportunity for additional spares coming up in the next 2 or 3 years” due to recent aircraft use. F-35 spares demand projected to “double again by 2030.” Golden Dome investment generating additional growth opportunities. Positive for TDY’s defense electronics and aerospace components.</w:t>
      </w:r>
    </w:p>
    <w:p>
      <w:pPr>
        <w:pStyle w:val="ListBullet"/>
        <w:ind w:left="360" w:hanging="360"/>
      </w:pPr>
      <w:r>
        <w:rPr>
          <w:rFonts w:ascii="Calibri" w:hAnsi="Calibri"/>
          <w:b/>
          <w:color w:val="525866"/>
          <w:sz w:val="22"/>
        </w:rPr>
        <w:t xml:space="preserve">Unmanned / Collaborative Combat Aircraft: </w:t>
      </w:r>
      <w:r>
        <w:rPr>
          <w:rFonts w:ascii="Calibri" w:hAnsi="Calibri"/>
          <w:color w:val="525866"/>
          <w:sz w:val="22"/>
        </w:rPr>
        <w:t>HWM is developing turbine parts for collaborative combat aircraft (CCA) — unmanned aircraft flying alongside F-35/F-47. Expects “significant growth in the next, let’s say, 3, 5, 10 years.” Validates TDY’s unmanned systems growth narrative.</w:t>
      </w:r>
    </w:p>
    <w:p>
      <w:pPr>
        <w:pStyle w:val="ListBullet"/>
        <w:ind w:left="360" w:hanging="360"/>
      </w:pPr>
      <w:r>
        <w:rPr>
          <w:rFonts w:ascii="Calibri" w:hAnsi="Calibri"/>
          <w:b/>
          <w:color w:val="525866"/>
          <w:sz w:val="22"/>
        </w:rPr>
        <w:t xml:space="preserve">Commercial Aerospace — Extraordinary Backlogs: </w:t>
      </w:r>
      <w:r>
        <w:rPr>
          <w:rFonts w:ascii="Calibri" w:hAnsi="Calibri"/>
          <w:color w:val="525866"/>
          <w:sz w:val="22"/>
        </w:rPr>
        <w:t>“Backlogs for commercial aircraft are at extraordinary highs.” Widebody growth expected “hopefully this year.” Narrowbody demand strong. “Pretty much our customers will take everything that we can make.” Positive for TDY’s aerospace electronics and instrumentation.</w:t>
      </w:r>
    </w:p>
    <w:p>
      <w:pPr>
        <w:pStyle w:val="ListBullet"/>
        <w:ind w:left="360" w:hanging="360"/>
      </w:pPr>
      <w:r>
        <w:rPr>
          <w:rFonts w:ascii="Calibri" w:hAnsi="Calibri"/>
          <w:b/>
          <w:color w:val="525866"/>
          <w:sz w:val="22"/>
        </w:rPr>
        <w:t xml:space="preserve">Industrial Gas Turbines — Data Center Driven: </w:t>
      </w:r>
      <w:r>
        <w:rPr>
          <w:rFonts w:ascii="Calibri" w:hAnsi="Calibri"/>
          <w:color w:val="525866"/>
          <w:sz w:val="22"/>
        </w:rPr>
        <w:t>HWM holds “well over 50% globally” market share in turbine blades for gas turbines. Existing fleet “working much harder than expected,” driving a “very significant spares market.” Expects near-doubling of the turbine fleet in the next 5 years. “Demand not just from data centers, but across the board.” Positive for TDY’s marine and environmental instrumentation serving energy infrastructure.</w:t>
      </w:r>
    </w:p>
    <w:p>
      <w:pPr>
        <w:pStyle w:val="ListBullet"/>
        <w:ind w:left="360" w:hanging="360"/>
      </w:pPr>
      <w:r>
        <w:rPr>
          <w:rFonts w:ascii="Calibri" w:hAnsi="Calibri"/>
          <w:b/>
          <w:color w:val="525866"/>
          <w:sz w:val="22"/>
        </w:rPr>
        <w:t xml:space="preserve">Missiles &amp; Golden Dome: </w:t>
      </w:r>
      <w:r>
        <w:rPr>
          <w:rFonts w:ascii="Calibri" w:hAnsi="Calibri"/>
          <w:color w:val="525866"/>
          <w:sz w:val="22"/>
        </w:rPr>
        <w:t>HWM is “looking at significantly increased volume requirements” for PAC-3, Patriot, and THAAD systems, with revenue improvement expected in 2027–29. Consistent with TDY’s counter-drone and defense electronics demand narrative.</w:t>
      </w:r>
    </w:p>
    <w:p>
      <w:r>
        <w:rPr>
          <w:rFonts w:ascii="Calibri" w:hAnsi="Calibri"/>
          <w:b/>
          <w:color w:val="525866"/>
          <w:sz w:val="22"/>
        </w:rPr>
        <w:t xml:space="preserve">TDY Implication: </w:t>
      </w:r>
      <w:r>
        <w:rPr>
          <w:rFonts w:ascii="Calibri" w:hAnsi="Calibri"/>
          <w:color w:val="525866"/>
          <w:sz w:val="22"/>
        </w:rPr>
        <w:t>HWM’s commentary validates the broad-based strength across commercial aerospace, defense, and industrial energy markets that TDY serves. The gas turbine/data center demand signal is particularly relevant for TDY’s marine and environmental instrumentation businesses.</w:t>
      </w:r>
    </w:p>
    <w:p>
      <w:pPr>
        <w:pStyle w:val="Heading2"/>
      </w:pPr>
      <w:r>
        <w:rPr>
          <w:rFonts w:ascii="Calibri" w:hAnsi="Calibri"/>
          <w:b/>
          <w:color w:val="3B4259"/>
          <w:sz w:val="28"/>
        </w:rPr>
        <w:t>8.2 Semiconductor &amp; Digital Imaging Read-Throughs</w:t>
      </w:r>
    </w:p>
    <w:p>
      <w:pPr>
        <w:pStyle w:val="Heading3"/>
      </w:pPr>
      <w:r>
        <w:rPr>
          <w:rFonts w:ascii="Calibri" w:hAnsi="Calibri"/>
          <w:b/>
          <w:color w:val="3B4259"/>
          <w:sz w:val="24"/>
        </w:rPr>
        <w:t>MKS Instruments (MKSI) — Q1 2026 Earnings Call (May 7, 2026)</w:t>
      </w:r>
    </w:p>
    <w:p>
      <w:r>
        <w:rPr>
          <w:rFonts w:ascii="Calibri" w:hAnsi="Calibri"/>
          <w:b/>
          <w:color w:val="525866"/>
          <w:sz w:val="22"/>
        </w:rPr>
        <w:t xml:space="preserve">Applicability: </w:t>
      </w:r>
      <w:r>
        <w:rPr>
          <w:rFonts w:ascii="Calibri" w:hAnsi="Calibri"/>
          <w:color w:val="525866"/>
          <w:sz w:val="22"/>
        </w:rPr>
        <w:t>Q2 2026 guidance and forward-looking commentary issued May 7, 2026. Directly applicable to TDY’s Q2 2026 period.</w:t>
      </w:r>
    </w:p>
    <w:p>
      <w:r>
        <w:rPr>
          <w:rFonts w:ascii="Calibri" w:hAnsi="Calibri"/>
          <w:b/>
          <w:color w:val="30A46C"/>
          <w:sz w:val="22"/>
        </w:rPr>
        <w:t xml:space="preserve">Read-Through Signal: </w:t>
      </w:r>
      <w:r>
        <w:rPr>
          <w:rFonts w:ascii="Calibri" w:hAnsi="Calibri"/>
          <w:color w:val="525866"/>
          <w:sz w:val="22"/>
        </w:rPr>
        <w:t xml:space="preserve"> Strongly Positive for TDY Digital Imaging (Semiconductor &amp; Photonics)</w:t>
      </w:r>
    </w:p>
    <w:p>
      <w:pPr>
        <w:pStyle w:val="ListBullet"/>
        <w:ind w:left="360" w:hanging="360"/>
      </w:pPr>
      <w:r>
        <w:rPr>
          <w:rFonts w:ascii="Calibri" w:hAnsi="Calibri"/>
          <w:b/>
          <w:color w:val="525866"/>
          <w:sz w:val="22"/>
        </w:rPr>
        <w:t xml:space="preserve">Semiconductor Revenue Accelerating: </w:t>
      </w:r>
      <w:r>
        <w:rPr>
          <w:rFonts w:ascii="Calibri" w:hAnsi="Calibri"/>
          <w:color w:val="525866"/>
          <w:sz w:val="22"/>
        </w:rPr>
        <w:t xml:space="preserve">MKSI guided Q2 2026 semiconductor revenue to $550M ±$15M, expected to “accelerate, growing </w:t>
      </w:r>
      <w:r>
        <w:rPr>
          <w:rFonts w:ascii="Calibri" w:hAnsi="Calibri"/>
          <w:b/>
          <w:color w:val="525866"/>
          <w:sz w:val="22"/>
        </w:rPr>
        <w:t>high teens sequentially and over 25% year-over-year</w:t>
      </w:r>
      <w:r>
        <w:rPr>
          <w:rFonts w:ascii="Calibri" w:hAnsi="Calibri"/>
          <w:color w:val="525866"/>
          <w:sz w:val="22"/>
        </w:rPr>
        <w:t>.” Driven by AI-driven CapEx plans, advanced DRAM applications, and NAND upgrades. WFE estimates for 2026 in the “$140 billion range” with 2027 expected at “$170–$180 billion.” Directly positive for TDY’s Digital Imaging segment (infrared detectors, sensors for semiconductor metrology and inspection).</w:t>
      </w:r>
    </w:p>
    <w:p>
      <w:pPr>
        <w:pStyle w:val="ListBullet"/>
        <w:ind w:left="360" w:hanging="360"/>
      </w:pPr>
      <w:r>
        <w:rPr>
          <w:rFonts w:ascii="Calibri" w:hAnsi="Calibri"/>
          <w:b/>
          <w:color w:val="525866"/>
          <w:sz w:val="22"/>
        </w:rPr>
        <w:t xml:space="preserve">Semi-Super Cycle: </w:t>
      </w:r>
      <w:r>
        <w:rPr>
          <w:rFonts w:ascii="Calibri" w:hAnsi="Calibri"/>
          <w:color w:val="525866"/>
          <w:sz w:val="22"/>
        </w:rPr>
        <w:t>CEO John Lee stated the industry believes “this cycle is going to be a lot longer than maybe previous cycles.” Customers building inventory ahead of a stronger cycle. MKSI has “already started plans and ordering equipment to expand capacity for 2027.”</w:t>
      </w:r>
    </w:p>
    <w:p>
      <w:pPr>
        <w:pStyle w:val="ListBullet"/>
        <w:ind w:left="360" w:hanging="360"/>
      </w:pPr>
      <w:r>
        <w:rPr>
          <w:rFonts w:ascii="Calibri" w:hAnsi="Calibri"/>
          <w:b/>
          <w:color w:val="525866"/>
          <w:sz w:val="22"/>
        </w:rPr>
        <w:t xml:space="preserve">Electronics &amp; Packaging +30% YoY: </w:t>
      </w:r>
      <w:r>
        <w:rPr>
          <w:rFonts w:ascii="Calibri" w:hAnsi="Calibri"/>
          <w:color w:val="525866"/>
          <w:sz w:val="22"/>
        </w:rPr>
        <w:t>Q2 2026 E&amp;P revenue guided to $350M ±$15M, growing “high single digits sequentially and over 30% year-over-year.” Laser drilling orders “remain very healthy.” AI driving increased complexity in PCB manufacturing. Relevant to TDY’s machine vision and digital imaging businesses.</w:t>
      </w:r>
    </w:p>
    <w:p>
      <w:pPr>
        <w:pStyle w:val="ListBullet"/>
        <w:ind w:left="360" w:hanging="360"/>
      </w:pPr>
      <w:r>
        <w:rPr>
          <w:rFonts w:ascii="Calibri" w:hAnsi="Calibri"/>
          <w:b/>
          <w:color w:val="525866"/>
          <w:sz w:val="22"/>
        </w:rPr>
        <w:t xml:space="preserve">Defense &amp; Datacom Strength: </w:t>
      </w:r>
      <w:r>
        <w:rPr>
          <w:rFonts w:ascii="Calibri" w:hAnsi="Calibri"/>
          <w:color w:val="525866"/>
          <w:sz w:val="22"/>
        </w:rPr>
        <w:t>Specialty Industrial segment (including defense and Datacom) guided to $300M ±$10M in Q2 2026, with defense cited as a key growth driver. Datacom business “growing quite nicely.” Positive for TDY’s defense electronics and instrumentation.</w:t>
      </w:r>
    </w:p>
    <w:p>
      <w:pPr>
        <w:pStyle w:val="ListBullet"/>
        <w:ind w:left="360" w:hanging="360"/>
      </w:pPr>
      <w:r>
        <w:rPr>
          <w:rFonts w:ascii="Calibri" w:hAnsi="Calibri"/>
          <w:b/>
          <w:color w:val="525866"/>
          <w:sz w:val="22"/>
        </w:rPr>
        <w:t xml:space="preserve">Tariff Impact Manageable: </w:t>
      </w:r>
      <w:r>
        <w:rPr>
          <w:rFonts w:ascii="Calibri" w:hAnsi="Calibri"/>
          <w:color w:val="525866"/>
          <w:sz w:val="22"/>
        </w:rPr>
        <w:t>MKSI incorporating “about 30 to 40 bps of impact” from tariffs in Q2 gross margin guide. Suggests tariff headwinds are quantifiable and manageable — a positive read-through for TDY’s own tariff exposure.</w:t>
      </w:r>
    </w:p>
    <w:p>
      <w:r>
        <w:rPr>
          <w:rFonts w:ascii="Calibri" w:hAnsi="Calibri"/>
          <w:b/>
          <w:color w:val="525866"/>
          <w:sz w:val="22"/>
        </w:rPr>
        <w:t xml:space="preserve">TDY Implication: </w:t>
      </w:r>
      <w:r>
        <w:rPr>
          <w:rFonts w:ascii="Calibri" w:hAnsi="Calibri"/>
          <w:color w:val="525866"/>
          <w:sz w:val="22"/>
        </w:rPr>
        <w:t>MKSI’s 25%+ YoY semiconductor revenue growth guidance for Q2 2026 is the single most direct positive read-through for TDY’s Digital Imaging segment, which supplies infrared detectors and sensors for semiconductor manufacturing and inspection. The ‘semi-super cycle’ narrative supports TDY’s Digital Imaging book-to-bill of 1.38 in Q1 2026.</w:t>
      </w:r>
    </w:p>
    <w:p>
      <w:pPr>
        <w:pStyle w:val="Heading3"/>
      </w:pPr>
      <w:r>
        <w:rPr>
          <w:rFonts w:ascii="Calibri" w:hAnsi="Calibri"/>
          <w:b/>
          <w:color w:val="3B4259"/>
          <w:sz w:val="24"/>
        </w:rPr>
        <w:t>Coherent Corp. (COHR) — Q3 FY2026 Earnings Call (May 6, 2026)</w:t>
      </w:r>
    </w:p>
    <w:p>
      <w:r>
        <w:rPr>
          <w:rFonts w:ascii="Calibri" w:hAnsi="Calibri"/>
          <w:b/>
          <w:color w:val="525866"/>
          <w:sz w:val="22"/>
        </w:rPr>
        <w:t xml:space="preserve">Applicability: </w:t>
      </w:r>
      <w:r>
        <w:rPr>
          <w:rFonts w:ascii="Calibri" w:hAnsi="Calibri"/>
          <w:color w:val="525866"/>
          <w:sz w:val="22"/>
        </w:rPr>
        <w:t>Q4 FY2026 guidance (April–June 2026) and forward-looking commentary issued May 6, 2026. Directly applicable to TDY’s Q2 2026 period.</w:t>
      </w:r>
    </w:p>
    <w:p>
      <w:r>
        <w:rPr>
          <w:rFonts w:ascii="Calibri" w:hAnsi="Calibri"/>
          <w:b/>
          <w:color w:val="30A46C"/>
          <w:sz w:val="22"/>
        </w:rPr>
        <w:t xml:space="preserve">Read-Through Signal: </w:t>
      </w:r>
      <w:r>
        <w:rPr>
          <w:rFonts w:ascii="Calibri" w:hAnsi="Calibri"/>
          <w:color w:val="525866"/>
          <w:sz w:val="22"/>
        </w:rPr>
        <w:t xml:space="preserve"> Positive for TDY Digital Imaging (Photonics, Semiconductor); Mixed on Broader Industrial</w:t>
      </w:r>
    </w:p>
    <w:p>
      <w:pPr>
        <w:pStyle w:val="ListBullet"/>
        <w:ind w:left="360" w:hanging="360"/>
      </w:pPr>
      <w:r>
        <w:rPr>
          <w:rFonts w:ascii="Calibri" w:hAnsi="Calibri"/>
          <w:b/>
          <w:color w:val="525866"/>
          <w:sz w:val="22"/>
        </w:rPr>
        <w:t xml:space="preserve">Exceptionally Strong Demand, No Attenuation: </w:t>
      </w:r>
      <w:r>
        <w:rPr>
          <w:rFonts w:ascii="Calibri" w:hAnsi="Calibri"/>
          <w:color w:val="525866"/>
          <w:sz w:val="22"/>
        </w:rPr>
        <w:t xml:space="preserve">COHR CEO Jim Anderson stated: “Customer demand remains </w:t>
      </w:r>
      <w:r>
        <w:rPr>
          <w:rFonts w:ascii="Calibri" w:hAnsi="Calibri"/>
          <w:b/>
          <w:color w:val="525866"/>
          <w:sz w:val="22"/>
        </w:rPr>
        <w:t>exceptionally strong with no signs of attenuation</w:t>
      </w:r>
      <w:r>
        <w:rPr>
          <w:rFonts w:ascii="Calibri" w:hAnsi="Calibri"/>
          <w:color w:val="525866"/>
          <w:sz w:val="22"/>
        </w:rPr>
        <w:t>, and our visibility continues to extend further into the future with orders now reaching into calendar 2028 and customer LTAs extending to the end of the decade.” Backlog at record levels. Directly positive for TDY’s photonics and optical component businesses.</w:t>
      </w:r>
    </w:p>
    <w:p>
      <w:pPr>
        <w:pStyle w:val="ListBullet"/>
        <w:ind w:left="360" w:hanging="360"/>
      </w:pPr>
      <w:r>
        <w:rPr>
          <w:rFonts w:ascii="Calibri" w:hAnsi="Calibri"/>
          <w:b/>
          <w:color w:val="525866"/>
          <w:sz w:val="22"/>
        </w:rPr>
        <w:t xml:space="preserve">Data Center Growth Accelerating: </w:t>
      </w:r>
      <w:r>
        <w:rPr>
          <w:rFonts w:ascii="Calibri" w:hAnsi="Calibri"/>
          <w:color w:val="525866"/>
          <w:sz w:val="22"/>
        </w:rPr>
        <w:t>COHR expects “data center growth to further accelerate in the current quarter.” 1.6T transceiver ramp “faster than what we would have thought, say, a year ago.” CPO revenue beginning to ramp in H2 2026. OCS market opportunity increased to “over $4 billion.”</w:t>
      </w:r>
    </w:p>
    <w:p>
      <w:pPr>
        <w:pStyle w:val="ListBullet"/>
        <w:ind w:left="360" w:hanging="360"/>
      </w:pPr>
      <w:r>
        <w:rPr>
          <w:rFonts w:ascii="Calibri" w:hAnsi="Calibri"/>
          <w:b/>
          <w:color w:val="525866"/>
          <w:sz w:val="22"/>
        </w:rPr>
        <w:t xml:space="preserve">Semiconductor Capital Equipment Improving: </w:t>
      </w:r>
      <w:r>
        <w:rPr>
          <w:rFonts w:ascii="Calibri" w:hAnsi="Calibri"/>
          <w:color w:val="525866"/>
          <w:sz w:val="22"/>
        </w:rPr>
        <w:t>COHR noted “encouraging signs of improvement, particularly in semiconductor capital equipment, where bookings have increased meaningfully.” Expects this to “begin contributing to revenue growth in the current quarter and to support further sequential improvement through the balance of the calendar year.” Directly positive for TDY’s Digital Imaging segment.</w:t>
      </w:r>
    </w:p>
    <w:p>
      <w:pPr>
        <w:pStyle w:val="ListBullet"/>
        <w:ind w:left="360" w:hanging="360"/>
      </w:pPr>
      <w:r>
        <w:rPr>
          <w:rFonts w:ascii="Calibri" w:hAnsi="Calibri"/>
          <w:b/>
          <w:color w:val="525866"/>
          <w:sz w:val="22"/>
        </w:rPr>
        <w:t xml:space="preserve">Broader Industrial — Continued Softness: </w:t>
      </w:r>
      <w:r>
        <w:rPr>
          <w:rFonts w:ascii="Calibri" w:hAnsi="Calibri"/>
          <w:color w:val="525866"/>
          <w:sz w:val="22"/>
        </w:rPr>
        <w:t xml:space="preserve">COHR noted “continued softness in parts of the broader industrial market” in Q3 FY2026. </w:t>
      </w:r>
      <w:r>
        <w:rPr>
          <w:rFonts w:ascii="Calibri" w:hAnsi="Calibri"/>
          <w:b/>
          <w:color w:val="525866"/>
          <w:sz w:val="22"/>
        </w:rPr>
        <w:t xml:space="preserve">Mixed read-through: </w:t>
      </w:r>
      <w:r>
        <w:rPr>
          <w:rFonts w:ascii="Calibri" w:hAnsi="Calibri"/>
          <w:color w:val="525866"/>
          <w:sz w:val="22"/>
        </w:rPr>
        <w:t xml:space="preserve"> While semiconductor-specific demand is recovering, broader industrial softness could weigh on TDY’s non-defense, non-semiconductor industrial imaging businesses.</w:t>
      </w:r>
    </w:p>
    <w:p>
      <w:pPr>
        <w:pStyle w:val="ListBullet"/>
        <w:ind w:left="360" w:hanging="360"/>
      </w:pPr>
      <w:r>
        <w:rPr>
          <w:rFonts w:ascii="Calibri" w:hAnsi="Calibri"/>
          <w:b/>
          <w:color w:val="525866"/>
          <w:sz w:val="22"/>
        </w:rPr>
        <w:t xml:space="preserve">Margin Expansion Driven by 6-Inch InP: </w:t>
      </w:r>
      <w:r>
        <w:rPr>
          <w:rFonts w:ascii="Calibri" w:hAnsi="Calibri"/>
          <w:color w:val="525866"/>
          <w:sz w:val="22"/>
        </w:rPr>
        <w:t>COHR on track to double internal indium phosphide capacity by end of calendar 2026, “1 quarter earlier than originally planned.” Gross margin expanding. Positive read-through for pricing environment in photonics/optical components.</w:t>
      </w:r>
    </w:p>
    <w:p>
      <w:r>
        <w:rPr>
          <w:rFonts w:ascii="Calibri" w:hAnsi="Calibri"/>
          <w:b/>
          <w:color w:val="525866"/>
          <w:sz w:val="22"/>
        </w:rPr>
        <w:t xml:space="preserve">TDY Implication: </w:t>
      </w:r>
      <w:r>
        <w:rPr>
          <w:rFonts w:ascii="Calibri" w:hAnsi="Calibri"/>
          <w:color w:val="525866"/>
          <w:sz w:val="22"/>
        </w:rPr>
        <w:t>COHR’s record backlog and accelerating data center/semiconductor demand validate TDY’s Digital Imaging growth narrative. The broader industrial softness is a nuance to watch — TDY’s industrial imaging (DALSA, e2v) recovery could be more gradual than the defense/semiconductor-driven Digital Imaging growth.</w:t>
      </w:r>
    </w:p>
    <w:p>
      <w:pPr>
        <w:pStyle w:val="Heading2"/>
      </w:pPr>
      <w:r>
        <w:rPr>
          <w:rFonts w:ascii="Calibri" w:hAnsi="Calibri"/>
          <w:b/>
          <w:color w:val="3B4259"/>
          <w:sz w:val="28"/>
        </w:rPr>
        <w:t>8.3 Instrumentation &amp; Test/Measurement Read-Throughs</w:t>
      </w:r>
    </w:p>
    <w:p>
      <w:pPr>
        <w:pStyle w:val="Heading3"/>
      </w:pPr>
      <w:r>
        <w:rPr>
          <w:rFonts w:ascii="Calibri" w:hAnsi="Calibri"/>
          <w:b/>
          <w:color w:val="3B4259"/>
          <w:sz w:val="24"/>
        </w:rPr>
        <w:t>Keysight Technologies (KEYS) — Q2 FY2026 Earnings Call (May 19, 2026)</w:t>
      </w:r>
    </w:p>
    <w:p>
      <w:r>
        <w:rPr>
          <w:rFonts w:ascii="Calibri" w:hAnsi="Calibri"/>
          <w:b/>
          <w:color w:val="525866"/>
          <w:sz w:val="22"/>
        </w:rPr>
        <w:t xml:space="preserve">Applicability: </w:t>
      </w:r>
      <w:r>
        <w:rPr>
          <w:rFonts w:ascii="Calibri" w:hAnsi="Calibri"/>
          <w:color w:val="525866"/>
          <w:sz w:val="22"/>
        </w:rPr>
        <w:t>Q3 FY2026 guidance (May–July 2026) and forward-looking commentary issued May 19, 2026. Directly applicable to TDY’s Q2 2026 period.</w:t>
      </w:r>
    </w:p>
    <w:p>
      <w:r>
        <w:rPr>
          <w:rFonts w:ascii="Calibri" w:hAnsi="Calibri"/>
          <w:b/>
          <w:color w:val="30A46C"/>
          <w:sz w:val="22"/>
        </w:rPr>
        <w:t xml:space="preserve">Read-Through Signal: </w:t>
      </w:r>
      <w:r>
        <w:rPr>
          <w:rFonts w:ascii="Calibri" w:hAnsi="Calibri"/>
          <w:color w:val="525866"/>
          <w:sz w:val="22"/>
        </w:rPr>
        <w:t xml:space="preserve"> Strongly Positive for TDY Instrumentation, Defense Electronics, and Digital Imaging</w:t>
      </w:r>
    </w:p>
    <w:p>
      <w:pPr>
        <w:pStyle w:val="ListBullet"/>
        <w:ind w:left="360" w:hanging="360"/>
      </w:pPr>
      <w:r>
        <w:rPr>
          <w:rFonts w:ascii="Calibri" w:hAnsi="Calibri"/>
          <w:b/>
          <w:color w:val="525866"/>
          <w:sz w:val="22"/>
        </w:rPr>
        <w:t xml:space="preserve">Record Bookings, Broad-Based Strength: </w:t>
      </w:r>
      <w:r>
        <w:rPr>
          <w:rFonts w:ascii="Calibri" w:hAnsi="Calibri"/>
          <w:color w:val="525866"/>
          <w:sz w:val="22"/>
        </w:rPr>
        <w:t>KEYS reported “record bookings for the company” in Q2 FY2026. “The strength was broad — AI was obviously the strong theme. Equally, aerospace, defense and semiconductor were key contributors to that growth.” Q3 FY2026 revenue guided to $1.730–$1.750B (+29% YoY at midpoint). EPS guided to $2.43–$2.49 (+43% YoY). Directly positive for TDY’s test and measurement and defense electronics businesses.</w:t>
      </w:r>
    </w:p>
    <w:p>
      <w:pPr>
        <w:pStyle w:val="ListBullet"/>
        <w:ind w:left="360" w:hanging="360"/>
      </w:pPr>
      <w:r>
        <w:rPr>
          <w:rFonts w:ascii="Calibri" w:hAnsi="Calibri"/>
          <w:b/>
          <w:color w:val="525866"/>
          <w:sz w:val="22"/>
        </w:rPr>
        <w:t xml:space="preserve">Aerospace, Defense &amp; Government — Broad-Based Global Momentum: </w:t>
      </w:r>
      <w:r>
        <w:rPr>
          <w:rFonts w:ascii="Calibri" w:hAnsi="Calibri"/>
          <w:color w:val="525866"/>
          <w:sz w:val="22"/>
        </w:rPr>
        <w:t>KEYS cited “broad-based global momentum led by Europe, supported by continued strength in Americas, as the global defense modernization priorities increasingly translate into new programs.” Demand “strongest across radar and electromagnetic spectrum operations.” Space, satellite, and autonomous systems “remained healthy.” Budget stability in U.S. and Europe driving stronger bookings. Directly validates TDY’s defense and space demand narrative.</w:t>
      </w:r>
    </w:p>
    <w:p>
      <w:pPr>
        <w:pStyle w:val="ListBullet"/>
        <w:ind w:left="360" w:hanging="360"/>
      </w:pPr>
      <w:r>
        <w:rPr>
          <w:rFonts w:ascii="Calibri" w:hAnsi="Calibri"/>
          <w:b/>
          <w:color w:val="525866"/>
          <w:sz w:val="22"/>
        </w:rPr>
        <w:t xml:space="preserve">AI Infrastructure — Very Early Innings: </w:t>
      </w:r>
      <w:r>
        <w:rPr>
          <w:rFonts w:ascii="Calibri" w:hAnsi="Calibri"/>
          <w:color w:val="525866"/>
          <w:sz w:val="22"/>
        </w:rPr>
        <w:t>KEYS views AI as being in “very early innings” with a “multiyear runway.” Wireline business growing, driven by 800G deployments, 1.6T adoption, and silicon photonics/CPO expansion. “Sustainable contributor of growth for us over the next several years.” Positive for TDY’s photonics and optical component businesses.</w:t>
      </w:r>
    </w:p>
    <w:p>
      <w:pPr>
        <w:pStyle w:val="ListBullet"/>
        <w:ind w:left="360" w:hanging="360"/>
      </w:pPr>
      <w:r>
        <w:rPr>
          <w:rFonts w:ascii="Calibri" w:hAnsi="Calibri"/>
          <w:b/>
          <w:color w:val="525866"/>
          <w:sz w:val="22"/>
        </w:rPr>
        <w:t xml:space="preserve">General Electronics — Double-Digit Growth: </w:t>
      </w:r>
      <w:r>
        <w:rPr>
          <w:rFonts w:ascii="Calibri" w:hAnsi="Calibri"/>
          <w:color w:val="525866"/>
          <w:sz w:val="22"/>
        </w:rPr>
        <w:t>KEYS saw “double-digit order and revenue growth” in general electronics, driven by AI-related innovation and high-performance PCB demand. “Higher test intensity for PCBs” due to greater complexity. Positive for TDY’s instrumentation and digital imaging businesses.</w:t>
      </w:r>
    </w:p>
    <w:p>
      <w:pPr>
        <w:pStyle w:val="ListBullet"/>
        <w:ind w:left="360" w:hanging="360"/>
      </w:pPr>
      <w:r>
        <w:rPr>
          <w:rFonts w:ascii="Calibri" w:hAnsi="Calibri"/>
          <w:b/>
          <w:color w:val="525866"/>
          <w:sz w:val="22"/>
        </w:rPr>
        <w:t xml:space="preserve">Automotive &amp; Energy Stabilizing: </w:t>
      </w:r>
      <w:r>
        <w:rPr>
          <w:rFonts w:ascii="Calibri" w:hAnsi="Calibri"/>
          <w:color w:val="525866"/>
          <w:sz w:val="22"/>
        </w:rPr>
        <w:t>Orders “grew for the third consecutive quarter as the business has largely stabilized.” Growth in software-defined vehicles and EV charging. Positive for TDY’s environmental and test instrumentation.</w:t>
      </w:r>
    </w:p>
    <w:p>
      <w:pPr>
        <w:pStyle w:val="ListBullet"/>
        <w:ind w:left="360" w:hanging="360"/>
      </w:pPr>
      <w:r>
        <w:rPr>
          <w:rFonts w:ascii="Calibri" w:hAnsi="Calibri"/>
          <w:b/>
          <w:color w:val="525866"/>
          <w:sz w:val="22"/>
        </w:rPr>
        <w:t xml:space="preserve">Supply Chain — No Major Concerns: </w:t>
      </w:r>
      <w:r>
        <w:rPr>
          <w:rFonts w:ascii="Calibri" w:hAnsi="Calibri"/>
          <w:color w:val="525866"/>
          <w:sz w:val="22"/>
        </w:rPr>
        <w:t>KEYS is “actively managing the supply chain” but has “no major concerns from a supply perspective.” CapEx raised 25% to $200M to support AI product ramp. Neutral-to-positive for TDY’s supply chain outlook.</w:t>
      </w:r>
    </w:p>
    <w:p>
      <w:r>
        <w:rPr>
          <w:rFonts w:ascii="Calibri" w:hAnsi="Calibri"/>
          <w:b/>
          <w:color w:val="525866"/>
          <w:sz w:val="22"/>
        </w:rPr>
        <w:t xml:space="preserve">TDY Implication: </w:t>
      </w:r>
      <w:r>
        <w:rPr>
          <w:rFonts w:ascii="Calibri" w:hAnsi="Calibri"/>
          <w:color w:val="525866"/>
          <w:sz w:val="22"/>
        </w:rPr>
        <w:t>KEYS’ record bookings and 29% YoY revenue growth guidance for the quarter overlapping TDY’s Q2 2026 is one of the strongest positive read-throughs in the preview. The broad-based strength across AI, defense, and semiconductor — TDY’s three most important growth drivers — suggests the demand environment is as strong as management indicated on the Q1 call.</w:t>
      </w:r>
    </w:p>
    <w:p>
      <w:pPr>
        <w:pStyle w:val="Heading3"/>
      </w:pPr>
      <w:r>
        <w:rPr>
          <w:rFonts w:ascii="Calibri" w:hAnsi="Calibri"/>
          <w:b/>
          <w:color w:val="3B4259"/>
          <w:sz w:val="24"/>
        </w:rPr>
        <w:t>Fortive Corporation (FTV) — Wolfe Research Global Transportation &amp; Industrials Conference (May 19, 2026)</w:t>
      </w:r>
    </w:p>
    <w:p>
      <w:r>
        <w:rPr>
          <w:rFonts w:ascii="Calibri" w:hAnsi="Calibri"/>
          <w:b/>
          <w:color w:val="525866"/>
          <w:sz w:val="22"/>
        </w:rPr>
        <w:t xml:space="preserve">Applicability: </w:t>
      </w:r>
      <w:r>
        <w:rPr>
          <w:rFonts w:ascii="Calibri" w:hAnsi="Calibri"/>
          <w:color w:val="525866"/>
          <w:sz w:val="22"/>
        </w:rPr>
        <w:t>Forward-looking commentary for Q2 2026 and beyond, issued May 19, 2026. Directly applicable to TDY’s Q2 2026 period.</w:t>
      </w:r>
    </w:p>
    <w:p>
      <w:r>
        <w:rPr>
          <w:rFonts w:ascii="Calibri" w:hAnsi="Calibri"/>
          <w:b/>
          <w:color w:val="30A46C"/>
          <w:sz w:val="22"/>
        </w:rPr>
        <w:t xml:space="preserve">Read-Through Signal: </w:t>
      </w:r>
      <w:r>
        <w:rPr>
          <w:rFonts w:ascii="Calibri" w:hAnsi="Calibri"/>
          <w:color w:val="525866"/>
          <w:sz w:val="22"/>
        </w:rPr>
        <w:t xml:space="preserve"> Positive for TDY Short-Cycle Industrial &amp; Defense Instrumentation</w:t>
      </w:r>
    </w:p>
    <w:p>
      <w:pPr>
        <w:pStyle w:val="ListBullet"/>
        <w:ind w:left="360" w:hanging="360"/>
      </w:pPr>
      <w:r>
        <w:rPr>
          <w:rFonts w:ascii="Calibri" w:hAnsi="Calibri"/>
          <w:b/>
          <w:color w:val="525866"/>
          <w:sz w:val="22"/>
        </w:rPr>
        <w:t xml:space="preserve">Q2 2026 On Track: </w:t>
      </w:r>
      <w:r>
        <w:rPr>
          <w:rFonts w:ascii="Calibri" w:hAnsi="Calibri"/>
          <w:color w:val="525866"/>
          <w:sz w:val="22"/>
        </w:rPr>
        <w:t>FTV CEO Olumide Soroye confirmed April trends “came out strong in April, like the trend, nicely aligned with our expectations” and that FTV remains “firmly on track with the guide we gave on our earnings call.” This is a direct positive read-through for TDY’s short-cycle industrial businesses (marine, environmental, test &amp; measurement instrumentation).</w:t>
      </w:r>
    </w:p>
    <w:p>
      <w:pPr>
        <w:pStyle w:val="ListBullet"/>
        <w:ind w:left="360" w:hanging="360"/>
      </w:pPr>
      <w:r>
        <w:rPr>
          <w:rFonts w:ascii="Calibri" w:hAnsi="Calibri"/>
          <w:b/>
          <w:color w:val="525866"/>
          <w:sz w:val="22"/>
        </w:rPr>
        <w:t xml:space="preserve">Short-Cycle Demand Recovery: </w:t>
      </w:r>
      <w:r>
        <w:rPr>
          <w:rFonts w:ascii="Calibri" w:hAnsi="Calibri"/>
          <w:color w:val="525866"/>
          <w:sz w:val="22"/>
        </w:rPr>
        <w:t>FTV noted “some of that’s the underlying short-cycle demand” and “it does feel like there’s a general lifting of all the boats that’s happening a little bit.” PMI trends supportive. Directly relevant to TDY’s Instrumentation segment, where management guided all short-cycle businesses to be flat or positive in 2026.</w:t>
      </w:r>
    </w:p>
    <w:p>
      <w:pPr>
        <w:pStyle w:val="ListBullet"/>
        <w:ind w:left="360" w:hanging="360"/>
      </w:pPr>
      <w:r>
        <w:rPr>
          <w:rFonts w:ascii="Calibri" w:hAnsi="Calibri"/>
          <w:b/>
          <w:color w:val="525866"/>
          <w:sz w:val="22"/>
        </w:rPr>
        <w:t xml:space="preserve">Defense &amp; Data Center as Growth Arenas: </w:t>
      </w:r>
      <w:r>
        <w:rPr>
          <w:rFonts w:ascii="Calibri" w:hAnsi="Calibri"/>
          <w:color w:val="525866"/>
          <w:sz w:val="22"/>
        </w:rPr>
        <w:t>FTV specifically identified “defense” and “data center” as attractive growth arenas for its Fluke business. “From what we saw in April, it was really strong trends.” Positive for TDY’s defense and industrial instrumentation.</w:t>
      </w:r>
    </w:p>
    <w:p>
      <w:pPr>
        <w:pStyle w:val="ListBullet"/>
        <w:ind w:left="360" w:hanging="360"/>
      </w:pPr>
      <w:r>
        <w:rPr>
          <w:rFonts w:ascii="Calibri" w:hAnsi="Calibri"/>
          <w:b/>
          <w:color w:val="525866"/>
          <w:sz w:val="22"/>
        </w:rPr>
        <w:t xml:space="preserve">Geopolitical Impact Minimal: </w:t>
      </w:r>
      <w:r>
        <w:rPr>
          <w:rFonts w:ascii="Calibri" w:hAnsi="Calibri"/>
          <w:color w:val="525866"/>
          <w:sz w:val="22"/>
        </w:rPr>
        <w:t>FTV noted Middle East is “about 2% of total Fortive revenues” and they are “actually seeing really strong order growth in the Middle East right now.” No repercussions showing up outside the region. Neutral-to-positive for TDY’s global operations.</w:t>
      </w:r>
    </w:p>
    <w:p>
      <w:pPr>
        <w:pStyle w:val="ListBullet"/>
        <w:ind w:left="360" w:hanging="360"/>
      </w:pPr>
      <w:r>
        <w:rPr>
          <w:rFonts w:ascii="Calibri" w:hAnsi="Calibri"/>
          <w:b/>
          <w:color w:val="525866"/>
          <w:sz w:val="22"/>
        </w:rPr>
        <w:t xml:space="preserve">Margin Expansion Framework: </w:t>
      </w:r>
      <w:r>
        <w:rPr>
          <w:rFonts w:ascii="Calibri" w:hAnsi="Calibri"/>
          <w:color w:val="525866"/>
          <w:sz w:val="22"/>
        </w:rPr>
        <w:t>FTV CFO reiterated “50 to 100 basis points of margin expansion over the next couple of years” framework. “Strong operating leverage through the P&amp;L.” Positive read-through for TDY’s own margin expansion trajectory.</w:t>
      </w:r>
    </w:p>
    <w:p>
      <w:r>
        <w:rPr>
          <w:rFonts w:ascii="Calibri" w:hAnsi="Calibri"/>
          <w:b/>
          <w:color w:val="525866"/>
          <w:sz w:val="22"/>
        </w:rPr>
        <w:t xml:space="preserve">TDY Implication: </w:t>
      </w:r>
      <w:r>
        <w:rPr>
          <w:rFonts w:ascii="Calibri" w:hAnsi="Calibri"/>
          <w:color w:val="525866"/>
          <w:sz w:val="22"/>
        </w:rPr>
        <w:t>FTV’s confirmation that short-cycle industrial demand is recovering and that April trends were strong is a direct positive read-through for TDY’s Instrumentation segment. The ‘general lifting of all boats’ comment is particularly relevant given TDY management’s Q1 2026 guidance that all short-cycle businesses are expected to be flat or positive in 2026.</w:t>
      </w:r>
    </w:p>
    <w:p>
      <w:pPr>
        <w:pStyle w:val="Heading3"/>
      </w:pPr>
      <w:r>
        <w:rPr>
          <w:rFonts w:ascii="Calibri" w:hAnsi="Calibri"/>
          <w:b/>
          <w:color w:val="3B4259"/>
          <w:sz w:val="24"/>
        </w:rPr>
        <w:t>Cognex Corporation (CGNX) — TD Cowen Technology, Media &amp; Telecom Conference (May 27, 2026)</w:t>
      </w:r>
    </w:p>
    <w:p>
      <w:r>
        <w:rPr>
          <w:rFonts w:ascii="Calibri" w:hAnsi="Calibri"/>
          <w:b/>
          <w:color w:val="525866"/>
          <w:sz w:val="22"/>
        </w:rPr>
        <w:t xml:space="preserve">Applicability: </w:t>
      </w:r>
      <w:r>
        <w:rPr>
          <w:rFonts w:ascii="Calibri" w:hAnsi="Calibri"/>
          <w:color w:val="525866"/>
          <w:sz w:val="22"/>
        </w:rPr>
        <w:t>Forward-looking commentary for CGNX’s current and upcoming quarters, issued May 27, 2026. Applicable to TDY’s Q2 2026 period.</w:t>
      </w:r>
    </w:p>
    <w:p>
      <w:r>
        <w:rPr>
          <w:rFonts w:ascii="Calibri" w:hAnsi="Calibri"/>
          <w:b/>
          <w:color w:val="525866"/>
          <w:sz w:val="22"/>
        </w:rPr>
        <w:t xml:space="preserve">Read-Through Signal: </w:t>
      </w:r>
      <w:r>
        <w:rPr>
          <w:rFonts w:ascii="Calibri" w:hAnsi="Calibri"/>
          <w:color w:val="525866"/>
          <w:sz w:val="22"/>
        </w:rPr>
        <w:t xml:space="preserve"> Mixed — Positive on Semiconductor &amp; Consumer Electronics; Cautious on Logistics Digestion Phase</w:t>
      </w:r>
    </w:p>
    <w:p>
      <w:pPr>
        <w:pStyle w:val="ListBullet"/>
        <w:ind w:left="360" w:hanging="360"/>
      </w:pPr>
      <w:r>
        <w:rPr>
          <w:rFonts w:ascii="Calibri" w:hAnsi="Calibri"/>
          <w:b/>
          <w:color w:val="525866"/>
          <w:sz w:val="22"/>
        </w:rPr>
        <w:t xml:space="preserve">Semiconductor — Semi-Super Cycle: </w:t>
      </w:r>
      <w:r>
        <w:rPr>
          <w:rFonts w:ascii="Calibri" w:hAnsi="Calibri"/>
          <w:color w:val="525866"/>
          <w:sz w:val="22"/>
        </w:rPr>
        <w:t>CGNX CFO Dennis Fehr described the semiconductor market as “a very strong capacity-driven cycle” and “a semi-super cycle,” expecting CGNX to “grow with this super cycle for the years to come.” Directly positive for TDY’s Digital Imaging semiconductor-related businesses.</w:t>
      </w:r>
    </w:p>
    <w:p>
      <w:pPr>
        <w:pStyle w:val="ListBullet"/>
        <w:ind w:left="360" w:hanging="360"/>
      </w:pPr>
      <w:r>
        <w:rPr>
          <w:rFonts w:ascii="Calibri" w:hAnsi="Calibri"/>
          <w:b/>
          <w:color w:val="525866"/>
          <w:sz w:val="22"/>
        </w:rPr>
        <w:t xml:space="preserve">Consumer Electronics — Broad-Based, Durable Growth: </w:t>
      </w:r>
      <w:r>
        <w:rPr>
          <w:rFonts w:ascii="Calibri" w:hAnsi="Calibri"/>
          <w:color w:val="525866"/>
          <w:sz w:val="22"/>
        </w:rPr>
        <w:t>CGNX seeing “very broad-based growth” in consumer electronics across geographies, devices, and new AI gadgets. Data center supply chain is a “growing very, very rapidly” new market. Growth “makes this cycle feel more durable. Potentially a longer cycle.” Positive for TDY’s machine vision and digital imaging businesses.</w:t>
      </w:r>
    </w:p>
    <w:p>
      <w:pPr>
        <w:pStyle w:val="ListBullet"/>
        <w:ind w:left="360" w:hanging="360"/>
      </w:pPr>
      <w:r>
        <w:rPr>
          <w:rFonts w:ascii="Calibri" w:hAnsi="Calibri"/>
          <w:b/>
          <w:color w:val="525866"/>
          <w:sz w:val="22"/>
        </w:rPr>
        <w:t xml:space="preserve">Logistics — Digestion Phase (Caution): </w:t>
      </w:r>
      <w:r>
        <w:rPr>
          <w:rFonts w:ascii="Calibri" w:hAnsi="Calibri"/>
          <w:color w:val="525866"/>
          <w:sz w:val="22"/>
        </w:rPr>
        <w:t xml:space="preserve">After 9 consecutive quarters of double-digit growth, CGNX sees logistics “settling into a phase maybe for another 6 months, can be 18 months, a phase to digest growth.” For “2026 and maybe ’27, it’s too early to say probably more phase to digest growth.” </w:t>
      </w:r>
      <w:r>
        <w:rPr>
          <w:rFonts w:ascii="Calibri" w:hAnsi="Calibri"/>
          <w:b/>
          <w:color w:val="525866"/>
          <w:sz w:val="22"/>
        </w:rPr>
        <w:t xml:space="preserve">Mixed read-through: </w:t>
      </w:r>
      <w:r>
        <w:rPr>
          <w:rFonts w:ascii="Calibri" w:hAnsi="Calibri"/>
          <w:color w:val="525866"/>
          <w:sz w:val="22"/>
        </w:rPr>
        <w:t xml:space="preserve"> TDY’s machine vision exposure to logistics automation could face near-term headwinds.</w:t>
      </w:r>
    </w:p>
    <w:p>
      <w:pPr>
        <w:pStyle w:val="ListBullet"/>
        <w:ind w:left="360" w:hanging="360"/>
      </w:pPr>
      <w:r>
        <w:rPr>
          <w:rFonts w:ascii="Calibri" w:hAnsi="Calibri"/>
          <w:b/>
          <w:color w:val="525866"/>
          <w:sz w:val="22"/>
        </w:rPr>
        <w:t xml:space="preserve">AI as Market Creator: </w:t>
      </w:r>
      <w:r>
        <w:rPr>
          <w:rFonts w:ascii="Calibri" w:hAnsi="Calibri"/>
          <w:color w:val="525866"/>
          <w:sz w:val="22"/>
        </w:rPr>
        <w:t>CGNX views AI as “a tremendous opportunity in terms of driving penetration” — “newly launched AI vision tools can just solve tasks which couldn’t be solved in the past without AI, and that basically creates markets.” Positive for TDY’s AI-enabled digital imaging and machine vision capabilities.</w:t>
      </w:r>
    </w:p>
    <w:p>
      <w:pPr>
        <w:pStyle w:val="ListBullet"/>
        <w:ind w:left="360" w:hanging="360"/>
      </w:pPr>
      <w:r>
        <w:rPr>
          <w:rFonts w:ascii="Calibri" w:hAnsi="Calibri"/>
          <w:b/>
          <w:color w:val="525866"/>
          <w:sz w:val="22"/>
        </w:rPr>
        <w:t xml:space="preserve">OpEx Efficiency &amp; Pricing Power: </w:t>
      </w:r>
      <w:r>
        <w:rPr>
          <w:rFonts w:ascii="Calibri" w:hAnsi="Calibri"/>
          <w:color w:val="525866"/>
          <w:sz w:val="22"/>
        </w:rPr>
        <w:t>CGNX targeting $35–40M of net OpEx reduction for 2026, with results expected “mostly in Q3.” Proactive pricing strategy aimed at turning a “headwind into a tailwind over the next couple of years.” Positive read-through for TDY’s own margin expansion and pricing power.</w:t>
      </w:r>
    </w:p>
    <w:p>
      <w:r>
        <w:rPr>
          <w:rFonts w:ascii="Calibri" w:hAnsi="Calibri"/>
          <w:b/>
          <w:color w:val="525866"/>
          <w:sz w:val="22"/>
        </w:rPr>
        <w:t xml:space="preserve">TDY Implication: </w:t>
      </w:r>
      <w:r>
        <w:rPr>
          <w:rFonts w:ascii="Calibri" w:hAnsi="Calibri"/>
          <w:color w:val="525866"/>
          <w:sz w:val="22"/>
        </w:rPr>
        <w:t>CGNX’s semiconductor super-cycle commentary is a strong positive for TDY’s Digital Imaging segment. The logistics digestion phase is a modest caution for TDY’s machine vision businesses, but is likely offset by the much stronger defense and semiconductor demand signals.</w:t>
      </w:r>
    </w:p>
    <w:p>
      <w:pPr>
        <w:pStyle w:val="Heading3"/>
      </w:pPr>
      <w:r>
        <w:rPr>
          <w:rFonts w:ascii="Calibri" w:hAnsi="Calibri"/>
          <w:b/>
          <w:color w:val="3B4259"/>
          <w:sz w:val="24"/>
        </w:rPr>
        <w:t>BWX Technologies (BWXT) — Q1 2026 Earnings Call (May 4, 2026)</w:t>
      </w:r>
    </w:p>
    <w:p>
      <w:r>
        <w:rPr>
          <w:rFonts w:ascii="Calibri" w:hAnsi="Calibri"/>
          <w:b/>
          <w:color w:val="525866"/>
          <w:sz w:val="22"/>
        </w:rPr>
        <w:t xml:space="preserve">Applicability: </w:t>
      </w:r>
      <w:r>
        <w:rPr>
          <w:rFonts w:ascii="Calibri" w:hAnsi="Calibri"/>
          <w:color w:val="525866"/>
          <w:sz w:val="22"/>
        </w:rPr>
        <w:t>Q2 2026 cadence guidance and forward-looking commentary issued May 4, 2026. Applicable to TDY’s Q2 2026 period.</w:t>
      </w:r>
    </w:p>
    <w:p>
      <w:r>
        <w:rPr>
          <w:rFonts w:ascii="Calibri" w:hAnsi="Calibri"/>
          <w:b/>
          <w:color w:val="30A46C"/>
          <w:sz w:val="22"/>
        </w:rPr>
        <w:t xml:space="preserve">Read-Through Signal: </w:t>
      </w:r>
      <w:r>
        <w:rPr>
          <w:rFonts w:ascii="Calibri" w:hAnsi="Calibri"/>
          <w:color w:val="525866"/>
          <w:sz w:val="22"/>
        </w:rPr>
        <w:t xml:space="preserve"> Positive for TDY Defense/Nuclear Engineered Systems; Mixed on Q2 Cadence</w:t>
      </w:r>
    </w:p>
    <w:p>
      <w:pPr>
        <w:pStyle w:val="ListBullet"/>
        <w:ind w:left="360" w:hanging="360"/>
      </w:pPr>
      <w:r>
        <w:rPr>
          <w:rFonts w:ascii="Calibri" w:hAnsi="Calibri"/>
          <w:b/>
          <w:color w:val="525866"/>
          <w:sz w:val="22"/>
        </w:rPr>
        <w:t xml:space="preserve">Backlog +77% YoY: </w:t>
      </w:r>
      <w:r>
        <w:rPr>
          <w:rFonts w:ascii="Calibri" w:hAnsi="Calibri"/>
          <w:color w:val="525866"/>
          <w:sz w:val="22"/>
        </w:rPr>
        <w:t>BWXT ended Q1 2026 with backlog of $8.7B, up 77% YoY and 19% sequentially, providing “clear visibility to future growth.” Driven by robust government bookings. Positive for TDY’s Engineered Systems (nuclear) and defense segments.</w:t>
      </w:r>
    </w:p>
    <w:p>
      <w:pPr>
        <w:pStyle w:val="ListBullet"/>
        <w:ind w:left="360" w:hanging="360"/>
      </w:pPr>
      <w:r>
        <w:rPr>
          <w:rFonts w:ascii="Calibri" w:hAnsi="Calibri"/>
          <w:b/>
          <w:color w:val="525866"/>
          <w:sz w:val="22"/>
        </w:rPr>
        <w:t xml:space="preserve">Commercial Nuclear Accelerating: </w:t>
      </w:r>
      <w:r>
        <w:rPr>
          <w:rFonts w:ascii="Calibri" w:hAnsi="Calibri"/>
          <w:color w:val="525866"/>
          <w:sz w:val="22"/>
        </w:rPr>
        <w:t>BWXT CEO Rex Geveden stated “demand for commercial nuclear power components and services continues to accelerate across the U.S., Canada and Europe.” U.S. and Japan announced plans to invest up to $40B in GE Hitachi SMRs. BWXT expects “further backlog growth over the next 12 months.” Positive for TDY’s nuclear-related Engineered Systems businesses.</w:t>
      </w:r>
    </w:p>
    <w:p>
      <w:pPr>
        <w:pStyle w:val="ListBullet"/>
        <w:ind w:left="360" w:hanging="360"/>
      </w:pPr>
      <w:r>
        <w:rPr>
          <w:rFonts w:ascii="Calibri" w:hAnsi="Calibri"/>
          <w:b/>
          <w:color w:val="525866"/>
          <w:sz w:val="22"/>
        </w:rPr>
        <w:t xml:space="preserve">Naval Nuclear Propulsion — More Robust Than Ever: </w:t>
      </w:r>
      <w:r>
        <w:rPr>
          <w:rFonts w:ascii="Calibri" w:hAnsi="Calibri"/>
          <w:color w:val="525866"/>
          <w:sz w:val="22"/>
        </w:rPr>
        <w:t>BWXT anticipates “continued revenue growth with a steady pace of Virginia-class production, growth in the Columbia class and early work on the next Ford class ship set.” FY’27 budget “supports these programs.” Naval nuclear propulsion program “looks more robust and more interesting than it did even a couple of years ago.” Positive for TDY’s defense and engineered systems businesses.</w:t>
      </w:r>
    </w:p>
    <w:p>
      <w:pPr>
        <w:pStyle w:val="ListBullet"/>
        <w:ind w:left="360" w:hanging="360"/>
      </w:pPr>
      <w:r>
        <w:rPr>
          <w:rFonts w:ascii="Calibri" w:hAnsi="Calibri"/>
          <w:b/>
          <w:color w:val="525866"/>
          <w:sz w:val="22"/>
        </w:rPr>
        <w:t xml:space="preserve">Q2 2026 Cadence — Slight Caution: </w:t>
      </w:r>
      <w:r>
        <w:rPr>
          <w:rFonts w:ascii="Calibri" w:hAnsi="Calibri"/>
          <w:color w:val="525866"/>
          <w:sz w:val="22"/>
        </w:rPr>
        <w:t xml:space="preserve">BWXT expects “second quarter EBITDA to be roughly in line with to slightly below first quarter levels,” with full-year results “slightly more back half weighted than usual with about 55% of full year EBITDA anticipated in the second half.” </w:t>
      </w:r>
      <w:r>
        <w:rPr>
          <w:rFonts w:ascii="Calibri" w:hAnsi="Calibri"/>
          <w:b/>
          <w:color w:val="525866"/>
          <w:sz w:val="22"/>
        </w:rPr>
        <w:t xml:space="preserve">Mixed read-through: </w:t>
      </w:r>
      <w:r>
        <w:rPr>
          <w:rFonts w:ascii="Calibri" w:hAnsi="Calibri"/>
          <w:color w:val="525866"/>
          <w:sz w:val="22"/>
        </w:rPr>
        <w:t xml:space="preserve"> Suggests Q2 may be a softer sequential quarter for defense/government contractors, consistent with AVAV’s government funding timing commentary.</w:t>
      </w:r>
    </w:p>
    <w:p>
      <w:pPr>
        <w:pStyle w:val="ListBullet"/>
        <w:ind w:left="360" w:hanging="360"/>
      </w:pPr>
      <w:r>
        <w:rPr>
          <w:rFonts w:ascii="Calibri" w:hAnsi="Calibri"/>
          <w:b/>
          <w:color w:val="525866"/>
          <w:sz w:val="22"/>
        </w:rPr>
        <w:t xml:space="preserve">Kinectrics / Test &amp; Measurement: </w:t>
      </w:r>
      <w:r>
        <w:rPr>
          <w:rFonts w:ascii="Calibri" w:hAnsi="Calibri"/>
          <w:color w:val="525866"/>
          <w:sz w:val="22"/>
        </w:rPr>
        <w:t>BWXT’s Kinectrics business (high-voltage testing, cable commissioning) is “growing faster than a lot of the parts of that portfolio,” with “real green shoots of growth around cable testing for wind power in Europe.” Positive for TDY’s test and measurement instrumentation.</w:t>
      </w:r>
    </w:p>
    <w:p>
      <w:r>
        <w:rPr>
          <w:rFonts w:ascii="Calibri" w:hAnsi="Calibri"/>
          <w:b/>
          <w:color w:val="525866"/>
          <w:sz w:val="22"/>
        </w:rPr>
        <w:t xml:space="preserve">TDY Implication: </w:t>
      </w:r>
      <w:r>
        <w:rPr>
          <w:rFonts w:ascii="Calibri" w:hAnsi="Calibri"/>
          <w:color w:val="525866"/>
          <w:sz w:val="22"/>
        </w:rPr>
        <w:t>BWXT’s 77% YoY backlog growth and accelerating nuclear/defense demand are strong positive read-throughs for TDY’s Engineered Systems segment. The Q2 cadence caution (slightly below Q1 EBITDA) is a nuance to watch — TDY’s Engineered Systems segment declined 2.6% in Q1 2026, and BWXT’s commentary suggests the back-half weighting of government program revenue is a sector-wide dynamic.</w:t>
      </w:r>
    </w:p>
    <w:p>
      <w:pPr>
        <w:pStyle w:val="Heading2"/>
      </w:pPr>
      <w:r>
        <w:rPr>
          <w:rFonts w:ascii="Calibri" w:hAnsi="Calibri"/>
          <w:b/>
          <w:color w:val="3B4259"/>
          <w:sz w:val="28"/>
        </w:rPr>
        <w:t>8.4 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Event Date</w:t>
            </w:r>
          </w:p>
        </w:tc>
        <w:tc>
          <w:tcPr>
            <w:tcW w:type="dxa" w:w="1728"/>
            <w:shd w:val="clear" w:color="auto" w:fill="3B4259"/>
          </w:tcPr>
          <w:p>
            <w:r>
              <w:rPr>
                <w:rFonts w:ascii="Calibri" w:hAnsi="Calibri"/>
                <w:b/>
                <w:color w:val="FFFFFF"/>
                <w:sz w:val="22"/>
              </w:rPr>
              <w:t>Most Relevant TDY Segment</w:t>
            </w:r>
          </w:p>
        </w:tc>
        <w:tc>
          <w:tcPr>
            <w:tcW w:type="dxa" w:w="1728"/>
            <w:shd w:val="clear" w:color="auto" w:fill="3B4259"/>
          </w:tcPr>
          <w:p>
            <w:r>
              <w:rPr>
                <w:rFonts w:ascii="Calibri" w:hAnsi="Calibri"/>
                <w:b/>
                <w:color w:val="FFFFFF"/>
                <w:sz w:val="22"/>
              </w:rPr>
              <w:t>Signal</w:t>
            </w:r>
          </w:p>
        </w:tc>
        <w:tc>
          <w:tcPr>
            <w:tcW w:type="dxa" w:w="1728"/>
            <w:shd w:val="clear" w:color="auto" w:fill="3B4259"/>
          </w:tcPr>
          <w:p>
            <w:r>
              <w:rPr>
                <w:rFonts w:ascii="Calibri" w:hAnsi="Calibri"/>
                <w:b/>
                <w:color w:val="FFFFFF"/>
                <w:sz w:val="22"/>
              </w:rPr>
              <w:t>Key Quote / Data Point</w:t>
            </w:r>
          </w:p>
        </w:tc>
      </w:tr>
      <w:tr>
        <w:tc>
          <w:tcPr>
            <w:tcW w:type="dxa" w:w="1728"/>
          </w:tcPr>
          <w:p>
            <w:r>
              <w:rPr>
                <w:rFonts w:ascii="Calibri" w:hAnsi="Calibri"/>
                <w:sz w:val="22"/>
              </w:rPr>
              <w:t>HEICO (HEI)</w:t>
            </w:r>
          </w:p>
        </w:tc>
        <w:tc>
          <w:tcPr>
            <w:tcW w:type="dxa" w:w="1728"/>
          </w:tcPr>
          <w:p>
            <w:r>
              <w:rPr>
                <w:rFonts w:ascii="Calibri" w:hAnsi="Calibri"/>
                <w:sz w:val="22"/>
              </w:rPr>
              <w:t>May 28, 2026</w:t>
            </w:r>
          </w:p>
        </w:tc>
        <w:tc>
          <w:tcPr>
            <w:tcW w:type="dxa" w:w="1728"/>
          </w:tcPr>
          <w:p>
            <w:r>
              <w:rPr>
                <w:rFonts w:ascii="Calibri" w:hAnsi="Calibri"/>
                <w:sz w:val="22"/>
              </w:rPr>
              <w:t>Defense, Space, Digital Imaging</w:t>
            </w:r>
          </w:p>
        </w:tc>
        <w:tc>
          <w:tcPr>
            <w:tcW w:type="dxa" w:w="1728"/>
          </w:tcPr>
          <w:p>
            <w:r>
              <w:rPr>
                <w:rFonts w:ascii="Calibri" w:hAnsi="Calibri"/>
                <w:b/>
                <w:color w:val="30A46C"/>
                <w:sz w:val="22"/>
              </w:rPr>
              <w:t>Strongly Positive</w:t>
            </w:r>
          </w:p>
        </w:tc>
        <w:tc>
          <w:tcPr>
            <w:tcW w:type="dxa" w:w="1728"/>
          </w:tcPr>
          <w:p>
            <w:r>
              <w:rPr>
                <w:rFonts w:ascii="Calibri" w:hAnsi="Calibri"/>
                <w:sz w:val="22"/>
              </w:rPr>
              <w:t>“Multiyear tail” in defense; record orders/backlog; drone &amp; unmanned missile business ‘remains very strong’</w:t>
            </w:r>
          </w:p>
        </w:tc>
      </w:tr>
      <w:tr>
        <w:tc>
          <w:tcPr>
            <w:tcW w:type="dxa" w:w="1728"/>
          </w:tcPr>
          <w:p>
            <w:r>
              <w:rPr>
                <w:rFonts w:ascii="Calibri" w:hAnsi="Calibri"/>
                <w:sz w:val="22"/>
              </w:rPr>
              <w:t>AeroVironment (AVAV)</w:t>
            </w:r>
          </w:p>
        </w:tc>
        <w:tc>
          <w:tcPr>
            <w:tcW w:type="dxa" w:w="1728"/>
          </w:tcPr>
          <w:p>
            <w:r>
              <w:rPr>
                <w:rFonts w:ascii="Calibri" w:hAnsi="Calibri"/>
                <w:sz w:val="22"/>
              </w:rPr>
              <w:t>Jun 29 / Jul 8, 2026</w:t>
            </w:r>
          </w:p>
        </w:tc>
        <w:tc>
          <w:tcPr>
            <w:tcW w:type="dxa" w:w="1728"/>
          </w:tcPr>
          <w:p>
            <w:r>
              <w:rPr>
                <w:rFonts w:ascii="Calibri" w:hAnsi="Calibri"/>
                <w:sz w:val="22"/>
              </w:rPr>
              <w:t>Unmanned Systems, Counter-UAS, Space</w:t>
            </w:r>
          </w:p>
        </w:tc>
        <w:tc>
          <w:tcPr>
            <w:tcW w:type="dxa" w:w="1728"/>
          </w:tcPr>
          <w:p>
            <w:r>
              <w:rPr>
                <w:rFonts w:ascii="Calibri" w:hAnsi="Calibri"/>
                <w:b/>
                <w:color w:val="30A46C"/>
                <w:sz w:val="22"/>
              </w:rPr>
              <w:t>Strongly Positive / Mixed (timing)</w:t>
            </w:r>
          </w:p>
        </w:tc>
        <w:tc>
          <w:tcPr>
            <w:tcW w:type="dxa" w:w="1728"/>
          </w:tcPr>
          <w:p>
            <w:r>
              <w:rPr>
                <w:rFonts w:ascii="Calibri" w:hAnsi="Calibri"/>
                <w:sz w:val="22"/>
              </w:rPr>
              <w:t>‘Unprecedented levels of demand’; $2.7B backlog; govt funding timing risk (budget ~Dec/Jan)</w:t>
            </w:r>
          </w:p>
        </w:tc>
      </w:tr>
      <w:tr>
        <w:tc>
          <w:tcPr>
            <w:tcW w:type="dxa" w:w="1728"/>
          </w:tcPr>
          <w:p>
            <w:r>
              <w:rPr>
                <w:rFonts w:ascii="Calibri" w:hAnsi="Calibri"/>
                <w:sz w:val="22"/>
              </w:rPr>
              <w:t>Howmet (HWM)</w:t>
            </w:r>
          </w:p>
        </w:tc>
        <w:tc>
          <w:tcPr>
            <w:tcW w:type="dxa" w:w="1728"/>
          </w:tcPr>
          <w:p>
            <w:r>
              <w:rPr>
                <w:rFonts w:ascii="Calibri" w:hAnsi="Calibri"/>
                <w:sz w:val="22"/>
              </w:rPr>
              <w:t>May 27, 2026</w:t>
            </w:r>
          </w:p>
        </w:tc>
        <w:tc>
          <w:tcPr>
            <w:tcW w:type="dxa" w:w="1728"/>
          </w:tcPr>
          <w:p>
            <w:r>
              <w:rPr>
                <w:rFonts w:ascii="Calibri" w:hAnsi="Calibri"/>
                <w:sz w:val="22"/>
              </w:rPr>
              <w:t>Defense, Aerospace, Industrial</w:t>
            </w:r>
          </w:p>
        </w:tc>
        <w:tc>
          <w:tcPr>
            <w:tcW w:type="dxa" w:w="1728"/>
          </w:tcPr>
          <w:p>
            <w:r>
              <w:rPr>
                <w:rFonts w:ascii="Calibri" w:hAnsi="Calibri"/>
                <w:b/>
                <w:color w:val="30A46C"/>
                <w:sz w:val="22"/>
              </w:rPr>
              <w:t>Positive</w:t>
            </w:r>
          </w:p>
        </w:tc>
        <w:tc>
          <w:tcPr>
            <w:tcW w:type="dxa" w:w="1728"/>
          </w:tcPr>
          <w:p>
            <w:r>
              <w:rPr>
                <w:rFonts w:ascii="Calibri" w:hAnsi="Calibri"/>
                <w:sz w:val="22"/>
              </w:rPr>
              <w:t>Defense budget ‘solid’; commercial aircraft backlogs at ‘extraordinary highs’; gas turbine fleet near-doubling in 5 years</w:t>
            </w:r>
          </w:p>
        </w:tc>
      </w:tr>
      <w:tr>
        <w:tc>
          <w:tcPr>
            <w:tcW w:type="dxa" w:w="1728"/>
          </w:tcPr>
          <w:p>
            <w:r>
              <w:rPr>
                <w:rFonts w:ascii="Calibri" w:hAnsi="Calibri"/>
                <w:sz w:val="22"/>
              </w:rPr>
              <w:t>MKS Instruments (MKSI)</w:t>
            </w:r>
          </w:p>
        </w:tc>
        <w:tc>
          <w:tcPr>
            <w:tcW w:type="dxa" w:w="1728"/>
          </w:tcPr>
          <w:p>
            <w:r>
              <w:rPr>
                <w:rFonts w:ascii="Calibri" w:hAnsi="Calibri"/>
                <w:sz w:val="22"/>
              </w:rPr>
              <w:t>May 7, 2026</w:t>
            </w:r>
          </w:p>
        </w:tc>
        <w:tc>
          <w:tcPr>
            <w:tcW w:type="dxa" w:w="1728"/>
          </w:tcPr>
          <w:p>
            <w:r>
              <w:rPr>
                <w:rFonts w:ascii="Calibri" w:hAnsi="Calibri"/>
                <w:sz w:val="22"/>
              </w:rPr>
              <w:t>Digital Imaging (Semiconductor)</w:t>
            </w:r>
          </w:p>
        </w:tc>
        <w:tc>
          <w:tcPr>
            <w:tcW w:type="dxa" w:w="1728"/>
          </w:tcPr>
          <w:p>
            <w:r>
              <w:rPr>
                <w:rFonts w:ascii="Calibri" w:hAnsi="Calibri"/>
                <w:b/>
                <w:color w:val="30A46C"/>
                <w:sz w:val="22"/>
              </w:rPr>
              <w:t>Strongly Positive</w:t>
            </w:r>
          </w:p>
        </w:tc>
        <w:tc>
          <w:tcPr>
            <w:tcW w:type="dxa" w:w="1728"/>
          </w:tcPr>
          <w:p>
            <w:r>
              <w:rPr>
                <w:rFonts w:ascii="Calibri" w:hAnsi="Calibri"/>
                <w:sz w:val="22"/>
              </w:rPr>
              <w:t>Q2 semi revenue +25% YoY; ‘semi-super cycle’; WFE $140B in 2026, $170–180B in 2027</w:t>
            </w:r>
          </w:p>
        </w:tc>
      </w:tr>
      <w:tr>
        <w:tc>
          <w:tcPr>
            <w:tcW w:type="dxa" w:w="1728"/>
          </w:tcPr>
          <w:p>
            <w:r>
              <w:rPr>
                <w:rFonts w:ascii="Calibri" w:hAnsi="Calibri"/>
                <w:sz w:val="22"/>
              </w:rPr>
              <w:t>Coherent (COHR)</w:t>
            </w:r>
          </w:p>
        </w:tc>
        <w:tc>
          <w:tcPr>
            <w:tcW w:type="dxa" w:w="1728"/>
          </w:tcPr>
          <w:p>
            <w:r>
              <w:rPr>
                <w:rFonts w:ascii="Calibri" w:hAnsi="Calibri"/>
                <w:sz w:val="22"/>
              </w:rPr>
              <w:t>May 6, 2026</w:t>
            </w:r>
          </w:p>
        </w:tc>
        <w:tc>
          <w:tcPr>
            <w:tcW w:type="dxa" w:w="1728"/>
          </w:tcPr>
          <w:p>
            <w:r>
              <w:rPr>
                <w:rFonts w:ascii="Calibri" w:hAnsi="Calibri"/>
                <w:sz w:val="22"/>
              </w:rPr>
              <w:t>Digital Imaging (Photonics)</w:t>
            </w:r>
          </w:p>
        </w:tc>
        <w:tc>
          <w:tcPr>
            <w:tcW w:type="dxa" w:w="1728"/>
          </w:tcPr>
          <w:p>
            <w:r>
              <w:rPr>
                <w:rFonts w:ascii="Calibri" w:hAnsi="Calibri"/>
                <w:b/>
                <w:color w:val="30A46C"/>
                <w:sz w:val="22"/>
              </w:rPr>
              <w:t>Positive / Mixed (industrial)</w:t>
            </w:r>
          </w:p>
        </w:tc>
        <w:tc>
          <w:tcPr>
            <w:tcW w:type="dxa" w:w="1728"/>
          </w:tcPr>
          <w:p>
            <w:r>
              <w:rPr>
                <w:rFonts w:ascii="Calibri" w:hAnsi="Calibri"/>
                <w:sz w:val="22"/>
              </w:rPr>
              <w:t>Record backlog; semi capex bookings up meaningfully; broader industrial still soft</w:t>
            </w:r>
          </w:p>
        </w:tc>
      </w:tr>
      <w:tr>
        <w:tc>
          <w:tcPr>
            <w:tcW w:type="dxa" w:w="1728"/>
          </w:tcPr>
          <w:p>
            <w:r>
              <w:rPr>
                <w:rFonts w:ascii="Calibri" w:hAnsi="Calibri"/>
                <w:sz w:val="22"/>
              </w:rPr>
              <w:t>Keysight (KEYS)</w:t>
            </w:r>
          </w:p>
        </w:tc>
        <w:tc>
          <w:tcPr>
            <w:tcW w:type="dxa" w:w="1728"/>
          </w:tcPr>
          <w:p>
            <w:r>
              <w:rPr>
                <w:rFonts w:ascii="Calibri" w:hAnsi="Calibri"/>
                <w:sz w:val="22"/>
              </w:rPr>
              <w:t>May 19, 2026</w:t>
            </w:r>
          </w:p>
        </w:tc>
        <w:tc>
          <w:tcPr>
            <w:tcW w:type="dxa" w:w="1728"/>
          </w:tcPr>
          <w:p>
            <w:r>
              <w:rPr>
                <w:rFonts w:ascii="Calibri" w:hAnsi="Calibri"/>
                <w:sz w:val="22"/>
              </w:rPr>
              <w:t>Instrumentation, Defense, Digital Imaging</w:t>
            </w:r>
          </w:p>
        </w:tc>
        <w:tc>
          <w:tcPr>
            <w:tcW w:type="dxa" w:w="1728"/>
          </w:tcPr>
          <w:p>
            <w:r>
              <w:rPr>
                <w:rFonts w:ascii="Calibri" w:hAnsi="Calibri"/>
                <w:b/>
                <w:color w:val="30A46C"/>
                <w:sz w:val="22"/>
              </w:rPr>
              <w:t>Strongly Positive</w:t>
            </w:r>
          </w:p>
        </w:tc>
        <w:tc>
          <w:tcPr>
            <w:tcW w:type="dxa" w:w="1728"/>
          </w:tcPr>
          <w:p>
            <w:r>
              <w:rPr>
                <w:rFonts w:ascii="Calibri" w:hAnsi="Calibri"/>
                <w:sz w:val="22"/>
              </w:rPr>
              <w:t>Record bookings; Q3 revenue +29% YoY; defense ‘broad-based global momentum led by Europe’</w:t>
            </w:r>
          </w:p>
        </w:tc>
      </w:tr>
      <w:tr>
        <w:tc>
          <w:tcPr>
            <w:tcW w:type="dxa" w:w="1728"/>
          </w:tcPr>
          <w:p>
            <w:r>
              <w:rPr>
                <w:rFonts w:ascii="Calibri" w:hAnsi="Calibri"/>
                <w:sz w:val="22"/>
              </w:rPr>
              <w:t>Fortive (FTV)</w:t>
            </w:r>
          </w:p>
        </w:tc>
        <w:tc>
          <w:tcPr>
            <w:tcW w:type="dxa" w:w="1728"/>
          </w:tcPr>
          <w:p>
            <w:r>
              <w:rPr>
                <w:rFonts w:ascii="Calibri" w:hAnsi="Calibri"/>
                <w:sz w:val="22"/>
              </w:rPr>
              <w:t>May 19, 2026</w:t>
            </w:r>
          </w:p>
        </w:tc>
        <w:tc>
          <w:tcPr>
            <w:tcW w:type="dxa" w:w="1728"/>
          </w:tcPr>
          <w:p>
            <w:r>
              <w:rPr>
                <w:rFonts w:ascii="Calibri" w:hAnsi="Calibri"/>
                <w:sz w:val="22"/>
              </w:rPr>
              <w:t>Instrumentation (Short-Cycle)</w:t>
            </w:r>
          </w:p>
        </w:tc>
        <w:tc>
          <w:tcPr>
            <w:tcW w:type="dxa" w:w="1728"/>
          </w:tcPr>
          <w:p>
            <w:r>
              <w:rPr>
                <w:rFonts w:ascii="Calibri" w:hAnsi="Calibri"/>
                <w:b/>
                <w:color w:val="30A46C"/>
                <w:sz w:val="22"/>
              </w:rPr>
              <w:t>Positive</w:t>
            </w:r>
          </w:p>
        </w:tc>
        <w:tc>
          <w:tcPr>
            <w:tcW w:type="dxa" w:w="1728"/>
          </w:tcPr>
          <w:p>
            <w:r>
              <w:rPr>
                <w:rFonts w:ascii="Calibri" w:hAnsi="Calibri"/>
                <w:sz w:val="22"/>
              </w:rPr>
              <w:t>April trends ‘strong’; ‘general lifting of all boats’; short-cycle demand recovering</w:t>
            </w:r>
          </w:p>
        </w:tc>
      </w:tr>
      <w:tr>
        <w:tc>
          <w:tcPr>
            <w:tcW w:type="dxa" w:w="1728"/>
          </w:tcPr>
          <w:p>
            <w:r>
              <w:rPr>
                <w:rFonts w:ascii="Calibri" w:hAnsi="Calibri"/>
                <w:sz w:val="22"/>
              </w:rPr>
              <w:t>BWX Technologies (BWXT)</w:t>
            </w:r>
          </w:p>
        </w:tc>
        <w:tc>
          <w:tcPr>
            <w:tcW w:type="dxa" w:w="1728"/>
          </w:tcPr>
          <w:p>
            <w:r>
              <w:rPr>
                <w:rFonts w:ascii="Calibri" w:hAnsi="Calibri"/>
                <w:sz w:val="22"/>
              </w:rPr>
              <w:t>May 4, 2026</w:t>
            </w:r>
          </w:p>
        </w:tc>
        <w:tc>
          <w:tcPr>
            <w:tcW w:type="dxa" w:w="1728"/>
          </w:tcPr>
          <w:p>
            <w:r>
              <w:rPr>
                <w:rFonts w:ascii="Calibri" w:hAnsi="Calibri"/>
                <w:sz w:val="22"/>
              </w:rPr>
              <w:t>Engineered Systems (Nuclear/Defense)</w:t>
            </w:r>
          </w:p>
        </w:tc>
        <w:tc>
          <w:tcPr>
            <w:tcW w:type="dxa" w:w="1728"/>
          </w:tcPr>
          <w:p>
            <w:r>
              <w:rPr>
                <w:rFonts w:ascii="Calibri" w:hAnsi="Calibri"/>
                <w:b/>
                <w:color w:val="30A46C"/>
                <w:sz w:val="22"/>
              </w:rPr>
              <w:t>Positive / Mixed (Q2 cadence)</w:t>
            </w:r>
          </w:p>
        </w:tc>
        <w:tc>
          <w:tcPr>
            <w:tcW w:type="dxa" w:w="1728"/>
          </w:tcPr>
          <w:p>
            <w:r>
              <w:rPr>
                <w:rFonts w:ascii="Calibri" w:hAnsi="Calibri"/>
                <w:sz w:val="22"/>
              </w:rPr>
              <w:t>Backlog +77% YoY; nuclear demand accelerating; Q2 EBITDA ‘roughly in line to slightly below’ Q1</w:t>
            </w:r>
          </w:p>
        </w:tc>
      </w:tr>
      <w:tr>
        <w:tc>
          <w:tcPr>
            <w:tcW w:type="dxa" w:w="1728"/>
          </w:tcPr>
          <w:p>
            <w:r>
              <w:rPr>
                <w:rFonts w:ascii="Calibri" w:hAnsi="Calibri"/>
                <w:sz w:val="22"/>
              </w:rPr>
              <w:t>Cognex (CGNX)</w:t>
            </w:r>
          </w:p>
        </w:tc>
        <w:tc>
          <w:tcPr>
            <w:tcW w:type="dxa" w:w="1728"/>
          </w:tcPr>
          <w:p>
            <w:r>
              <w:rPr>
                <w:rFonts w:ascii="Calibri" w:hAnsi="Calibri"/>
                <w:sz w:val="22"/>
              </w:rPr>
              <w:t>May 27, 2026</w:t>
            </w:r>
          </w:p>
        </w:tc>
        <w:tc>
          <w:tcPr>
            <w:tcW w:type="dxa" w:w="1728"/>
          </w:tcPr>
          <w:p>
            <w:r>
              <w:rPr>
                <w:rFonts w:ascii="Calibri" w:hAnsi="Calibri"/>
                <w:sz w:val="22"/>
              </w:rPr>
              <w:t>Digital Imaging (Machine Vision)</w:t>
            </w:r>
          </w:p>
        </w:tc>
        <w:tc>
          <w:tcPr>
            <w:tcW w:type="dxa" w:w="1728"/>
          </w:tcPr>
          <w:p>
            <w:r>
              <w:rPr>
                <w:rFonts w:ascii="Calibri" w:hAnsi="Calibri"/>
                <w:b/>
                <w:color w:val="002FA7"/>
                <w:sz w:val="22"/>
              </w:rPr>
              <w:t>Mixed</w:t>
            </w:r>
          </w:p>
        </w:tc>
        <w:tc>
          <w:tcPr>
            <w:tcW w:type="dxa" w:w="1728"/>
          </w:tcPr>
          <w:p>
            <w:r>
              <w:rPr>
                <w:rFonts w:ascii="Calibri" w:hAnsi="Calibri"/>
                <w:sz w:val="22"/>
              </w:rPr>
              <w:t>Semi super-cycle positive; logistics digestion phase (6–18 months) a modest caution</w:t>
            </w:r>
          </w:p>
        </w:tc>
      </w:tr>
    </w:tbl>
    <w:p>
      <w:r>
        <w:rPr>
          <w:rFonts w:ascii="Calibri" w:hAnsi="Calibri"/>
          <w:b/>
          <w:color w:val="525866"/>
          <w:sz w:val="22"/>
        </w:rPr>
        <w:t xml:space="preserve">Sources: </w:t>
      </w:r>
      <w:r>
        <w:rPr>
          <w:rFonts w:ascii="Calibri" w:hAnsi="Calibri"/>
          <w:color w:val="525866"/>
          <w:sz w:val="22"/>
        </w:rPr>
        <w:t>HEICO Q2 FY2026 Earnings Call Transcript (May 28, 2026); AeroVironment Q4 FY2026 Earnings Call Transcript (June 29, 2026) and Investor Day Transcript (July 8, 2026); Howmet Bernstein Strategic Decisions Conference Transcript (May 27, 2026); MKS Instruments Q1 2026 Earnings Call Transcript (May 7, 2026); Coherent Q3 FY2026 Earnings Call Transcript (May 6, 2026); Keysight Q2 FY2026 Earnings Call Transcript (May 19, 2026); Fortive Wolfe Research Conference Transcript (May 19, 2026); BWX Technologies Q1 2026 Earnings Call Transcript (May 4, 2026); Cognex TD Cowen Conference Transcript (May 27, 2026). All sourced from Implied financial documents database.</w:t>
      </w:r>
    </w:p>
    <w:p>
      <w:r>
        <w:br w:type="page"/>
      </w:r>
    </w:p>
    <w:p>
      <w:pPr>
        <w:pStyle w:val="Heading1"/>
        <w:pBdr>
          <w:bottom w:val="single" w:sz="4" w:space="1" w:color="FB9120"/>
        </w:pBdr>
      </w:pPr>
      <w:r>
        <w:rPr>
          <w:rFonts w:ascii="Calibri" w:hAnsi="Calibri"/>
          <w:b/>
          <w:color w:val="3B4259"/>
          <w:sz w:val="40"/>
        </w:rPr>
        <w:t>Appendix: Key Data Sources &amp; Citations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Data Source</w:t>
            </w:r>
          </w:p>
        </w:tc>
        <w:tc>
          <w:tcPr>
            <w:tcW w:type="dxa" w:w="2880"/>
            <w:shd w:val="clear" w:color="auto" w:fill="3B4259"/>
          </w:tcPr>
          <w:p>
            <w:r>
              <w:rPr>
                <w:rFonts w:ascii="Calibri" w:hAnsi="Calibri"/>
                <w:b/>
                <w:color w:val="FFFFFF"/>
                <w:sz w:val="22"/>
              </w:rPr>
              <w:t>Coverage</w:t>
            </w:r>
          </w:p>
        </w:tc>
        <w:tc>
          <w:tcPr>
            <w:tcW w:type="dxa" w:w="2880"/>
            <w:shd w:val="clear" w:color="auto" w:fill="3B4259"/>
          </w:tcPr>
          <w:p>
            <w:r>
              <w:rPr>
                <w:rFonts w:ascii="Calibri" w:hAnsi="Calibri"/>
                <w:b/>
                <w:color w:val="FFFFFF"/>
                <w:sz w:val="22"/>
              </w:rPr>
              <w:t>Reference</w:t>
            </w:r>
          </w:p>
        </w:tc>
      </w:tr>
      <w:tr>
        <w:tc>
          <w:tcPr>
            <w:tcW w:type="dxa" w:w="2880"/>
          </w:tcPr>
          <w:p>
            <w:r>
              <w:rPr>
                <w:rFonts w:ascii="Calibri" w:hAnsi="Calibri"/>
                <w:sz w:val="22"/>
              </w:rPr>
              <w:t>Visible Alpha Consensus &amp; Actuals — Income Statement</w:t>
            </w:r>
          </w:p>
        </w:tc>
        <w:tc>
          <w:tcPr>
            <w:tcW w:type="dxa" w:w="2880"/>
          </w:tcPr>
          <w:p>
            <w:r>
              <w:rPr>
                <w:rFonts w:ascii="Calibri" w:hAnsi="Calibri"/>
                <w:sz w:val="22"/>
              </w:rPr>
              <w:t>Revenue, Non-GAAP EPS, Organic Growth, Beat/Miss History</w:t>
            </w:r>
          </w:p>
        </w:tc>
        <w:tc>
          <w:tcPr>
            <w:tcW w:type="dxa" w:w="2880"/>
          </w:tcPr>
          <w:p>
            <w:r>
              <w:rPr>
                <w:rFonts w:ascii="Calibri" w:hAnsi="Calibri"/>
                <w:sz w:val="22"/>
              </w:rPr>
              <w:t>https://insights.visiblealpha.com/mex/TDY_US/NMV/IS</w:t>
            </w:r>
          </w:p>
        </w:tc>
      </w:tr>
      <w:tr>
        <w:tc>
          <w:tcPr>
            <w:tcW w:type="dxa" w:w="2880"/>
          </w:tcPr>
          <w:p>
            <w:r>
              <w:rPr>
                <w:rFonts w:ascii="Calibri" w:hAnsi="Calibri"/>
                <w:sz w:val="22"/>
              </w:rPr>
              <w:t>Visible Alpha Consensus &amp; Actuals — Segment</w:t>
            </w:r>
          </w:p>
        </w:tc>
        <w:tc>
          <w:tcPr>
            <w:tcW w:type="dxa" w:w="2880"/>
          </w:tcPr>
          <w:p>
            <w:r>
              <w:rPr>
                <w:rFonts w:ascii="Calibri" w:hAnsi="Calibri"/>
                <w:sz w:val="22"/>
              </w:rPr>
              <w:t>Digital Imaging Operating Margin, Organic Growth by Segment</w:t>
            </w:r>
          </w:p>
        </w:tc>
        <w:tc>
          <w:tcPr>
            <w:tcW w:type="dxa" w:w="2880"/>
          </w:tcPr>
          <w:p>
            <w:r>
              <w:rPr>
                <w:rFonts w:ascii="Calibri" w:hAnsi="Calibri"/>
                <w:sz w:val="22"/>
              </w:rPr>
              <w:t>https://insights.visiblealpha.com/mex/TDY_US/NMV/SG</w:t>
            </w:r>
          </w:p>
        </w:tc>
      </w:tr>
      <w:tr>
        <w:tc>
          <w:tcPr>
            <w:tcW w:type="dxa" w:w="2880"/>
          </w:tcPr>
          <w:p>
            <w:r>
              <w:rPr>
                <w:rFonts w:ascii="Calibri" w:hAnsi="Calibri"/>
                <w:sz w:val="22"/>
              </w:rPr>
              <w:t>Visible Alpha Consensus &amp; Actuals — Cash Flow</w:t>
            </w:r>
          </w:p>
        </w:tc>
        <w:tc>
          <w:tcPr>
            <w:tcW w:type="dxa" w:w="2880"/>
          </w:tcPr>
          <w:p>
            <w:r>
              <w:rPr>
                <w:rFonts w:ascii="Calibri" w:hAnsi="Calibri"/>
                <w:sz w:val="22"/>
              </w:rPr>
              <w:t>Free Cash Flow</w:t>
            </w:r>
          </w:p>
        </w:tc>
        <w:tc>
          <w:tcPr>
            <w:tcW w:type="dxa" w:w="2880"/>
          </w:tcPr>
          <w:p>
            <w:r>
              <w:rPr>
                <w:rFonts w:ascii="Calibri" w:hAnsi="Calibri"/>
                <w:sz w:val="22"/>
              </w:rPr>
              <w:t>https://insights.visiblealpha.com/mex/TDY_US/NMV/CF</w:t>
            </w:r>
          </w:p>
        </w:tc>
      </w:tr>
      <w:tr>
        <w:tc>
          <w:tcPr>
            <w:tcW w:type="dxa" w:w="2880"/>
          </w:tcPr>
          <w:p>
            <w:r>
              <w:rPr>
                <w:rFonts w:ascii="Calibri" w:hAnsi="Calibri"/>
                <w:sz w:val="22"/>
              </w:rPr>
              <w:t>Visible Alpha Consensus &amp; Actuals — Revenue Breakdown</w:t>
            </w:r>
          </w:p>
        </w:tc>
        <w:tc>
          <w:tcPr>
            <w:tcW w:type="dxa" w:w="2880"/>
          </w:tcPr>
          <w:p>
            <w:r>
              <w:rPr>
                <w:rFonts w:ascii="Calibri" w:hAnsi="Calibri"/>
                <w:sz w:val="22"/>
              </w:rPr>
              <w:t>Organic Impact (%)</w:t>
            </w:r>
          </w:p>
        </w:tc>
        <w:tc>
          <w:tcPr>
            <w:tcW w:type="dxa" w:w="2880"/>
          </w:tcPr>
          <w:p>
            <w:r>
              <w:rPr>
                <w:rFonts w:ascii="Calibri" w:hAnsi="Calibri"/>
                <w:sz w:val="22"/>
              </w:rPr>
              <w:t>https://insights.visiblealpha.com/mex/TDY_US/NMV/RV</w:t>
            </w:r>
          </w:p>
        </w:tc>
      </w:tr>
      <w:tr>
        <w:tc>
          <w:tcPr>
            <w:tcW w:type="dxa" w:w="2880"/>
          </w:tcPr>
          <w:p>
            <w:r>
              <w:rPr>
                <w:rFonts w:ascii="Calibri" w:hAnsi="Calibri"/>
                <w:sz w:val="22"/>
              </w:rPr>
              <w:t>TDY Q1 2026 Earnings Release (8-K EX-99.1)</w:t>
            </w:r>
          </w:p>
        </w:tc>
        <w:tc>
          <w:tcPr>
            <w:tcW w:type="dxa" w:w="2880"/>
          </w:tcPr>
          <w:p>
            <w:r>
              <w:rPr>
                <w:rFonts w:ascii="Calibri" w:hAnsi="Calibri"/>
                <w:sz w:val="22"/>
              </w:rPr>
              <w:t>Q2 2026 &amp; FY2026 Guidance, Segment Revenue, Capital Allocation, Risks</w:t>
            </w:r>
          </w:p>
        </w:tc>
        <w:tc>
          <w:tcPr>
            <w:tcW w:type="dxa" w:w="2880"/>
          </w:tcPr>
          <w:p>
            <w:r>
              <w:rPr>
                <w:rFonts w:ascii="Calibri" w:hAnsi="Calibri"/>
                <w:sz w:val="22"/>
              </w:rPr>
              <w:t>SEC EDGAR / Implied Financial Documents Database (April 22, 2026)</w:t>
            </w:r>
          </w:p>
        </w:tc>
      </w:tr>
      <w:tr>
        <w:tc>
          <w:tcPr>
            <w:tcW w:type="dxa" w:w="2880"/>
          </w:tcPr>
          <w:p>
            <w:r>
              <w:rPr>
                <w:rFonts w:ascii="Calibri" w:hAnsi="Calibri"/>
                <w:sz w:val="22"/>
              </w:rPr>
              <w:t>TDY Q1 2026 Earnings Call Transcript</w:t>
            </w:r>
          </w:p>
        </w:tc>
        <w:tc>
          <w:tcPr>
            <w:tcW w:type="dxa" w:w="2880"/>
          </w:tcPr>
          <w:p>
            <w:r>
              <w:rPr>
                <w:rFonts w:ascii="Calibri" w:hAnsi="Calibri"/>
                <w:sz w:val="22"/>
              </w:rPr>
              <w:t>Management Commentary, Book-to-Bill, Defense Demand, M&amp;A Posture</w:t>
            </w:r>
          </w:p>
        </w:tc>
        <w:tc>
          <w:tcPr>
            <w:tcW w:type="dxa" w:w="2880"/>
          </w:tcPr>
          <w:p>
            <w:r>
              <w:rPr>
                <w:rFonts w:ascii="Calibri" w:hAnsi="Calibri"/>
                <w:sz w:val="22"/>
              </w:rPr>
              <w:t>Implied Financial Documents Database (April 22, 2026)</w:t>
            </w:r>
          </w:p>
        </w:tc>
      </w:tr>
      <w:tr>
        <w:tc>
          <w:tcPr>
            <w:tcW w:type="dxa" w:w="2880"/>
          </w:tcPr>
          <w:p>
            <w:r>
              <w:rPr>
                <w:rFonts w:ascii="Calibri" w:hAnsi="Calibri"/>
                <w:sz w:val="22"/>
              </w:rPr>
              <w:t>Stock Performance Decomposition</w:t>
            </w:r>
          </w:p>
        </w:tc>
        <w:tc>
          <w:tcPr>
            <w:tcW w:type="dxa" w:w="2880"/>
          </w:tcPr>
          <w:p>
            <w:r>
              <w:rPr>
                <w:rFonts w:ascii="Calibri" w:hAnsi="Calibri"/>
                <w:sz w:val="22"/>
              </w:rPr>
              <w:t>NTM Multiples, Price Returns, Multiple Attribution</w:t>
            </w:r>
          </w:p>
        </w:tc>
        <w:tc>
          <w:tcPr>
            <w:tcW w:type="dxa" w:w="2880"/>
          </w:tcPr>
          <w:p>
            <w:r>
              <w:rPr>
                <w:rFonts w:ascii="Calibri" w:hAnsi="Calibri"/>
                <w:sz w:val="22"/>
              </w:rPr>
              <w:t>Implied Platform (Snapshot July 21, 2026)</w:t>
            </w:r>
          </w:p>
        </w:tc>
      </w:tr>
      <w:tr>
        <w:tc>
          <w:tcPr>
            <w:tcW w:type="dxa" w:w="2880"/>
          </w:tcPr>
          <w:p>
            <w:r>
              <w:rPr>
                <w:rFonts w:ascii="Calibri" w:hAnsi="Calibri"/>
                <w:sz w:val="22"/>
              </w:rPr>
              <w:t>Peer Earnings Call Transcripts &amp; Conference Transcripts</w:t>
            </w:r>
          </w:p>
        </w:tc>
        <w:tc>
          <w:tcPr>
            <w:tcW w:type="dxa" w:w="2880"/>
          </w:tcPr>
          <w:p>
            <w:r>
              <w:rPr>
                <w:rFonts w:ascii="Calibri" w:hAnsi="Calibri"/>
                <w:sz w:val="22"/>
              </w:rPr>
              <w:t>HEI, AVAV, HWM, MKSI, COHR, KEYS, FTV, BWXT, CGNX — Forward-Looking Commentary</w:t>
            </w:r>
          </w:p>
        </w:tc>
        <w:tc>
          <w:tcPr>
            <w:tcW w:type="dxa" w:w="2880"/>
          </w:tcPr>
          <w:p>
            <w:r>
              <w:rPr>
                <w:rFonts w:ascii="Calibri" w:hAnsi="Calibri"/>
                <w:sz w:val="22"/>
              </w:rPr>
              <w:t>Implied Financial Documents Database (May–July 2026)</w:t>
            </w:r>
          </w:p>
        </w:tc>
      </w:tr>
      <w:tr>
        <w:tc>
          <w:tcPr>
            <w:tcW w:type="dxa" w:w="2880"/>
          </w:tcPr>
          <w:p>
            <w:r>
              <w:rPr>
                <w:rFonts w:ascii="Calibri" w:hAnsi="Calibri"/>
                <w:sz w:val="22"/>
              </w:rPr>
              <w:t>SEC Form 4 Filings Database</w:t>
            </w:r>
          </w:p>
        </w:tc>
        <w:tc>
          <w:tcPr>
            <w:tcW w:type="dxa" w:w="2880"/>
          </w:tcPr>
          <w:p>
            <w:r>
              <w:rPr>
                <w:rFonts w:ascii="Calibri" w:hAnsi="Calibri"/>
                <w:sz w:val="22"/>
              </w:rPr>
              <w:t>Insider Transactions (Open-Market Buys/Sells)</w:t>
            </w:r>
          </w:p>
        </w:tc>
        <w:tc>
          <w:tcPr>
            <w:tcW w:type="dxa" w:w="2880"/>
          </w:tcPr>
          <w:p>
            <w:r>
              <w:rPr>
                <w:rFonts w:ascii="Calibri" w:hAnsi="Calibri"/>
                <w:sz w:val="22"/>
              </w:rPr>
              <w:t>SEC EDGAR via Implied Platform (April 22 – July 21, 2026)</w:t>
            </w:r>
          </w:p>
        </w:tc>
      </w:tr>
    </w:tbl>
    <w:p>
      <w:r>
        <w:rPr>
          <w:rFonts w:ascii="Calibri" w:hAnsi="Calibri"/>
          <w:b/>
          <w:color w:val="525866"/>
          <w:sz w:val="22"/>
        </w:rPr>
        <w:t xml:space="preserve">Disclaimer: </w:t>
      </w:r>
      <w:r>
        <w:rPr>
          <w:rFonts w:ascii="Calibri" w:hAnsi="Calibri"/>
          <w:color w:val="525866"/>
          <w:sz w:val="22"/>
        </w:rPr>
        <w:t>This earnings preview is prepared for informational purposes only and is based on publicly available information and consensus data as of July 21, 2026. All consensus estimates are sourced from Visible Alpha. All peer commentary is sourced from publicly available earnings call transcripts and investor conference transcripts. This document does not constitute investment advice.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