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el-earnings-predictions--2026-07-22"/>
    <w:p>
      <w:pPr>
        <w:pStyle w:val="Heading1"/>
      </w:pPr>
      <w:r>
        <w:t xml:space="preserve">TEL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(F3Q26)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~$2.92 vs. cons $2.84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(F3Q26)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5.08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  <w:r>
              <w:t xml:space="preserve">5.00B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/ book-to-bill (F3Q26)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5.4</m:t>
              </m:r>
              <m:r>
                <m:t>B</m:t>
              </m:r>
              <m:r>
                <m:t>o</m:t>
              </m:r>
              <m:r>
                <m:t>r</m:t>
              </m:r>
              <m:r>
                <m:t>d</m:t>
              </m:r>
              <m:r>
                <m:t>e</m:t>
              </m:r>
              <m:r>
                <m:t>r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2</m:t>
              </m:r>
              <m:r>
                <m:t>B</m:t>
              </m:r>
              <m:r>
                <m:t> </m:t>
              </m:r>
              <m:r>
                <m:t>1.10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5.2B, B2B ~1.05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F4Q26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2.90 (F4Q26)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F4Q26 Net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5.05B (F4Q26), aided by soft-USD FX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AI/DDN revenue framing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raise to ~</w:t>
            </w:r>
            <m:oMath>
              <m:r>
                <m:t>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/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(F3Q26)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~22.0% vs. cons 21.9% (F3Q26); resin/freight/tariff pressure caps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beat + orders strength + likely AI raise should lift estimates and drive a positive initial reaction off a de-risked ~$209 level (down YTD, recovered from June lows). But TEL has a strong sell-the-news history (fell ~9% after the Q2 beat-and-raise), the stock already ran ~6% into the print, consensus sits on the guide, and margin/auto overhangs plus demanding AI expectations cap follow-through — so the day-1 pop largely gives back over the week as out-period math and near-term margin caution temper upward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2026-07-22T00:14:43Z</dcterms:created>
  <dcterms:modified xsi:type="dcterms:W3CDTF">2026-07-22T00:14:43Z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