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Let me read the most recent earnings materials for guidance and segment detail.Let me pull the year-ago Q3 2025 release for the comparison baseline and check for any recent analyst/news items.# TE Connectivity (TEL) — Earnings Preview</w:t>
      </w:r>
    </w:p>
    <w:p>
      <w:pPr>
        <w:pStyle w:val="BodyText"/>
      </w:pPr>
      <w:r>
        <w:rPr>
          <w:b/>
          <w:bCs/>
        </w:rPr>
        <w:t xml:space="preserve">Report date:</w:t>
      </w:r>
      <w:r>
        <w:t xml:space="preserve"> </w:t>
      </w:r>
      <w:r>
        <w:t xml:space="preserve">Wednesday, July 22, 2026 (before U.S. open) |</w:t>
      </w:r>
      <w:r>
        <w:t xml:space="preserve"> </w:t>
      </w:r>
      <w:r>
        <w:rPr>
          <w:b/>
          <w:bCs/>
        </w:rPr>
        <w:t xml:space="preserve">Event:</w:t>
      </w:r>
      <w:r>
        <w:t xml:space="preserve"> </w:t>
      </w:r>
      <w:r>
        <w:t xml:space="preserve">Fiscal Q3 2026 Earnings Call |</w:t>
      </w:r>
      <w:r>
        <w:t xml:space="preserve"> </w:t>
      </w:r>
      <w:r>
        <w:rPr>
          <w:b/>
          <w:bCs/>
        </w:rPr>
        <w:t xml:space="preserve">Quarter ended:</w:t>
      </w:r>
      <w:r>
        <w:t xml:space="preserve"> </w:t>
      </w:r>
      <w:r>
        <w:t xml:space="preserve">June 26, 2026</w:t>
      </w:r>
    </w:p>
    <w:p>
      <w:r>
        <w:pict>
          <v:rect style="width:0;height:1.5pt" o:hralign="center" o:hrstd="t" o:hr="t"/>
        </w:pict>
      </w:r>
    </w:p>
    <w:bookmarkStart w:id="9" w:name="the-setup-in-one-line"/>
    <w:p>
      <w:pPr>
        <w:pStyle w:val="Heading2"/>
      </w:pPr>
      <w:r>
        <w:t xml:space="preserve">The setup in one line</w:t>
      </w:r>
    </w:p>
    <w:p>
      <w:pPr>
        <w:pStyle w:val="FirstParagraph"/>
      </w:pPr>
      <w:r>
        <w:t xml:space="preserve">TEL heads into F3Q26 on a strong operating streak — record orders, an accelerating AI/data-center ramp, and margins running near record highs — but with a stock that has struggled to reward the good news. The key debate is no longer</w:t>
      </w:r>
      <w:r>
        <w:t xml:space="preserve"> </w:t>
      </w:r>
      <w:r>
        <w:rPr>
          <w:i/>
          <w:iCs/>
        </w:rPr>
        <w:t xml:space="preserve">whether</w:t>
      </w:r>
      <w:r>
        <w:t xml:space="preserve"> </w:t>
      </w:r>
      <w:r>
        <w:t xml:space="preserve">the business is growing, but whether the momentum (especially AI) can keep beating an increasingly demanding bar, and whether margins hold against input-cost inflation.</w:t>
      </w:r>
    </w:p>
    <w:p>
      <w:r>
        <w:pict>
          <v:rect style="width:0;height:1.5pt" o:hralign="center" o:hrstd="t" o:hr="t"/>
        </w:pict>
      </w:r>
    </w:p>
    <w:bookmarkEnd w:id="9"/>
    <w:bookmarkStart w:id="10" w:name="what-management-guided-to-set-april-22"/>
    <w:p>
      <w:pPr>
        <w:pStyle w:val="Heading2"/>
      </w:pPr>
      <w:r>
        <w:t xml:space="preserve">What management guided to (set April 22)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Q3 FY26 Guide</w:t>
            </w:r>
          </w:p>
        </w:tc>
        <w:tc>
          <w:tcPr/>
          <w:p>
            <w:pPr>
              <w:pStyle w:val="Compact"/>
            </w:pPr>
            <w:r>
              <w:t xml:space="preserve">Y/Y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~$5.0B</w:t>
            </w:r>
          </w:p>
        </w:tc>
        <w:tc>
          <w:tcPr/>
          <w:p>
            <w:pPr>
              <w:pStyle w:val="Compact"/>
            </w:pPr>
            <w:r>
              <w:t xml:space="preserve">+10% reported / +9% organic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~$2.83</w:t>
            </w:r>
          </w:p>
        </w:tc>
        <w:tc>
          <w:tcPr/>
          <w:p>
            <w:pPr>
              <w:pStyle w:val="Compact"/>
            </w:pPr>
            <w:r>
              <w:t xml:space="preserve">+17%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GAAP EPS (cont. ops)</w:t>
            </w:r>
          </w:p>
        </w:tc>
        <w:tc>
          <w:tcPr/>
          <w:p>
            <w:pPr>
              <w:pStyle w:val="Compact"/>
            </w:pPr>
            <w:r>
              <w:t xml:space="preserve">~$2.44</w:t>
            </w:r>
          </w:p>
        </w:tc>
        <w:tc>
          <w:tcPr/>
          <w:p>
            <w:pPr>
              <w:pStyle w:val="Compact"/>
            </w:pPr>
            <w:r>
              <w:t xml:space="preserve">+14%</w:t>
            </w:r>
          </w:p>
        </w:tc>
      </w:tr>
    </w:tbl>
    <w:p>
      <w:pPr>
        <w:pStyle w:val="BodyText"/>
      </w:pPr>
      <w:r>
        <w:rPr>
          <w:b/>
          <w:bCs/>
        </w:rPr>
        <w:t xml:space="preserve">Street consensus</w:t>
      </w:r>
      <w:r>
        <w:t xml:space="preserve"> </w:t>
      </w:r>
      <w:r>
        <w:t xml:space="preserve">(per the pre-earnings news digest): EPS of</w:t>
      </w:r>
      <w:r>
        <w:t xml:space="preserve"> </w:t>
      </w:r>
      <m:oMath>
        <m:r>
          <m:t>2.84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+</m:t>
        </m:r>
        <m:r>
          <m:t>10.5</m:t>
        </m:r>
      </m:oMath>
      <w:r>
        <w:rPr>
          <w:b/>
          <w:bCs/>
        </w:rPr>
        <w:t xml:space="preserve">5B</w:t>
      </w:r>
      <w:r>
        <w:t xml:space="preserve">, and adjusted operating margin of</w:t>
      </w:r>
      <w:r>
        <w:t xml:space="preserve"> </w:t>
      </w:r>
      <w:r>
        <w:rPr>
          <w:b/>
          <w:bCs/>
        </w:rPr>
        <w:t xml:space="preserve">~21.9%</w:t>
      </w:r>
      <w:r>
        <w:t xml:space="preserve">. In other words, the buy-side is essentially sitting right on the guide, so this is a "beat-and-raise or bust" quarter — meeting guidance likely isn't enough.</w:t>
      </w:r>
    </w:p>
    <w:p>
      <w:pPr>
        <w:pStyle w:val="BodyText"/>
      </w:pPr>
      <w:r>
        <w:rPr>
          <w:b/>
          <w:bCs/>
        </w:rPr>
        <w:t xml:space="preserve">A definitional nuance worth flagging:</w:t>
      </w:r>
      <w:r>
        <w:t xml:space="preserve"> </w:t>
      </w:r>
      <w:r>
        <w:t xml:space="preserve">Starting in FY26, TE excludes intangible</w:t>
      </w:r>
      <w:r>
        <w:t xml:space="preserve"> </w:t>
      </w:r>
      <w:r>
        <w:rPr>
          <w:b/>
          <w:bCs/>
        </w:rPr>
        <w:t xml:space="preserve">amortization</w:t>
      </w:r>
      <w:r>
        <w:t xml:space="preserve"> </w:t>
      </w:r>
      <w:r>
        <w:t xml:space="preserve">from adjusted EPS. The prior-year F3Q25 base has been</w:t>
      </w:r>
      <w:r>
        <w:t xml:space="preserve"> </w:t>
      </w:r>
      <w:r>
        <w:rPr>
          <w:b/>
          <w:bCs/>
        </w:rPr>
        <w:t xml:space="preserve">restated to $2.41</w:t>
      </w:r>
      <w:r>
        <w:t xml:space="preserve"> </w:t>
      </w:r>
      <w:r>
        <w:t xml:space="preserve">(from the originally reported $2.27) to reflect this. So the +17% growth math is against $2.41, not $2.27 — make sure comparisons use the restated base.</w:t>
      </w:r>
    </w:p>
    <w:p>
      <w:r>
        <w:pict>
          <v:rect style="width:0;height:1.5pt" o:hralign="center" o:hrstd="t" o:hr="t"/>
        </w:pict>
      </w:r>
    </w:p>
    <w:bookmarkEnd w:id="10"/>
    <w:bookmarkStart w:id="11" w:name="Xaca8b96209b943784040dfb5af260ef5a1f1b85"/>
    <w:p>
      <w:pPr>
        <w:pStyle w:val="Heading2"/>
      </w:pPr>
      <w:r>
        <w:t xml:space="preserve">Why the momentum has been so strong (Q2 recap)</w:t>
      </w:r>
    </w:p>
    <w:p>
      <w:pPr>
        <w:pStyle w:val="FirstParagraph"/>
      </w:pPr>
      <w:r>
        <w:t xml:space="preserve">Q2 (reported April 22) was a clean beat-and-raise: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Sales $4.74B, +15% reported / +7% organic; adjusted EPS $2.73, +24%</w:t>
      </w:r>
      <w:r>
        <w:t xml:space="preserve"> </w:t>
      </w:r>
      <w:r>
        <w:t xml:space="preserve">— both above guidance.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Record orders of $5.3B, +25% y/y, book-to-bill 1.12</w:t>
      </w:r>
      <w:r>
        <w:t xml:space="preserve">, with growth in every business and region. Over 70% of order growth came from Industrial, where orders grew ~40% y/y.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Adjusted operating margin 21.7%</w:t>
      </w:r>
      <w:r>
        <w:t xml:space="preserve"> </w:t>
      </w:r>
      <w:r>
        <w:t xml:space="preserve">(+130 bps y/y), with ~30% incremental flow-through.</w:t>
      </w:r>
    </w:p>
    <w:p>
      <w:pPr>
        <w:pStyle w:val="FirstParagraph"/>
      </w:pPr>
      <w:r>
        <w:rPr>
          <w:b/>
          <w:bCs/>
        </w:rPr>
        <w:t xml:space="preserve">The two segments are moving in opposite directions:</w:t>
      </w:r>
    </w:p>
    <w:p>
      <w:pPr>
        <w:pStyle w:val="BodyText"/>
      </w:pPr>
      <w:r>
        <w:rPr>
          <w:b/>
          <w:bCs/>
        </w:rPr>
        <w:t xml:space="preserve">Industrial Solutions — the engine.</w:t>
      </w:r>
      <w:r>
        <w:t xml:space="preserve"> </w:t>
      </w:r>
      <w:r>
        <w:t xml:space="preserve">Q2 sales +27% reported (+17% organic), adj. margin ~21.8% (+260 bps).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Digital Data Networks (DDN/AI): ~+48% y/y.</w:t>
      </w:r>
      <w:r>
        <w:t xml:space="preserve"> </w:t>
      </w:r>
      <w:r>
        <w:t xml:space="preserve">Management</w:t>
      </w:r>
      <w:r>
        <w:t xml:space="preserve"> </w:t>
      </w:r>
      <w:r>
        <w:rPr>
          <w:i/>
          <w:iCs/>
        </w:rPr>
        <w:t xml:space="preserve">raised</w:t>
      </w:r>
      <w:r>
        <w:t xml:space="preserve"> </w:t>
      </w:r>
      <w:r>
        <w:t xml:space="preserve">FY26 AI revenue by</w:t>
      </w:r>
      <w:r>
        <w:t xml:space="preserve"> </w:t>
      </w:r>
      <m:oMath>
        <m:r>
          <m:t>150</m:t>
        </m:r>
        <m:r>
          <m:t>M</m:t>
        </m:r>
        <m:r>
          <m:rPr>
            <m:sty m:val="p"/>
          </m:rPr>
          <m:t>(</m:t>
        </m:r>
        <m:r>
          <m:t>a</m:t>
        </m:r>
        <m:r>
          <m:t>l</m:t>
        </m:r>
        <m:r>
          <m:t>l</m:t>
        </m:r>
        <m:r>
          <m:t>i</m:t>
        </m:r>
        <m:r>
          <m:t>n</m:t>
        </m:r>
        <m:r>
          <m:t>2</m:t>
        </m:r>
        <m:r>
          <m:t>H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p</m:t>
        </m:r>
        <m:r>
          <m:t>u</m:t>
        </m:r>
        <m:r>
          <m:t>s</m:t>
        </m:r>
        <m:r>
          <m:t>h</m:t>
        </m:r>
        <m:r>
          <m:t>i</m:t>
        </m:r>
        <m:r>
          <m:t>n</m:t>
        </m:r>
        <m:r>
          <m:t>g</m:t>
        </m:r>
        <m:r>
          <m:t>F</m:t>
        </m:r>
        <m:r>
          <m:t>Y</m:t>
        </m:r>
        <m:r>
          <m:t>26</m:t>
        </m:r>
        <m:r>
          <m:t>A</m:t>
        </m:r>
        <m:r>
          <m:t>I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t</m:t>
        </m:r>
        <m:r>
          <m:t>o</m:t>
        </m:r>
        <m:r>
          <m:t>w</m:t>
        </m:r>
        <m:r>
          <m:t>a</m:t>
        </m:r>
        <m:r>
          <m:t>r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t xml:space="preserve">2.4B** (~70% of DDN), for ~</w:t>
      </w:r>
      <m:oMath>
        <m:r>
          <m:t>1</m:t>
        </m:r>
        <m:r>
          <m:t>B</m:t>
        </m:r>
        <m:r>
          <m:t>o</m:t>
        </m:r>
        <m:r>
          <m:t>f</m:t>
        </m:r>
        <m:r>
          <m:t>A</m:t>
        </m:r>
        <m:r>
          <m:t>I</m:t>
        </m:r>
        <m:r>
          <m:t>g</m:t>
        </m:r>
        <m:r>
          <m:t>r</m:t>
        </m:r>
        <m:r>
          <m:t>o</m:t>
        </m:r>
        <m:r>
          <m:t>w</m:t>
        </m:r>
        <m:r>
          <m:t>t</m:t>
        </m:r>
        <m:r>
          <m:t>h</m:t>
        </m:r>
        <m:r>
          <m:t>t</m:t>
        </m:r>
        <m:r>
          <m:t>h</m:t>
        </m:r>
        <m:r>
          <m:t>i</m:t>
        </m:r>
        <m:r>
          <m:t>s</m:t>
        </m:r>
        <m:r>
          <m:t>y</m:t>
        </m:r>
        <m:r>
          <m:t>e</m:t>
        </m:r>
        <m:r>
          <m:t>a</m:t>
        </m:r>
        <m:r>
          <m:t>r</m:t>
        </m:r>
        <m:r>
          <m:rPr>
            <m:sty m:val="p"/>
          </m:rPr>
          <m:t>.</m:t>
        </m:r>
        <m:r>
          <m:t>F</m:t>
        </m:r>
        <m:r>
          <m:t>i</m:t>
        </m:r>
        <m:r>
          <m:t>r</m:t>
        </m:r>
        <m:r>
          <m:t>s</m:t>
        </m:r>
        <m:r>
          <m:t>t</m:t>
        </m:r>
        <m:r>
          <m:rPr>
            <m:sty m:val="p"/>
          </m:rPr>
          <m:t>−</m:t>
        </m:r>
        <m:r>
          <m:t>h</m:t>
        </m:r>
        <m:r>
          <m:t>a</m:t>
        </m:r>
        <m:r>
          <m:t>l</m:t>
        </m:r>
        <m:r>
          <m:t>f</m:t>
        </m:r>
        <m:r>
          <m:t>D</m:t>
        </m:r>
        <m:r>
          <m:t>D</m:t>
        </m:r>
        <m:r>
          <m:t>N</m:t>
        </m:r>
        <m:r>
          <m:t>o</m:t>
        </m:r>
        <m:r>
          <m:t>r</m:t>
        </m:r>
        <m:r>
          <m:t>d</m:t>
        </m:r>
        <m:r>
          <m:t>e</m:t>
        </m:r>
        <m:r>
          <m:t>r</m:t>
        </m:r>
        <m:r>
          <m:t>s</m:t>
        </m:r>
        <m:r>
          <m:t>w</m:t>
        </m:r>
        <m:r>
          <m:t>e</m:t>
        </m:r>
        <m:r>
          <m:t>r</m:t>
        </m:r>
        <m:r>
          <m:t>e</m:t>
        </m:r>
        <m:r>
          <m:t> </m:t>
        </m:r>
      </m:oMath>
      <w:r>
        <w:t xml:space="preserve">2B, building backlog into 2027.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Energy: +60% reported / +11% organic</w:t>
      </w:r>
      <w:r>
        <w:t xml:space="preserve"> </w:t>
      </w:r>
      <w:r>
        <w:t xml:space="preserve">(Richards acquisition + grid hardening, data-center power, clean energy).</w:t>
      </w:r>
    </w:p>
    <w:p>
      <w:pPr>
        <w:pStyle w:val="Compact"/>
        <w:numPr>
          <w:ilvl w:val="0"/>
          <w:numId w:val="1002"/>
        </w:numPr>
      </w:pPr>
      <w:r>
        <w:t xml:space="preserve">Automation &amp; Connected Living +13%, Aerospace/Defense/Marine +9%.</w:t>
      </w:r>
    </w:p>
    <w:p>
      <w:pPr>
        <w:pStyle w:val="FirstParagraph"/>
      </w:pPr>
      <w:r>
        <w:rPr>
          <w:b/>
          <w:bCs/>
        </w:rPr>
        <w:t xml:space="preserve">Transportation Solutions — muted.</w:t>
      </w:r>
      <w:r>
        <w:t xml:space="preserve"> </w:t>
      </w:r>
      <w:r>
        <w:t xml:space="preserve">Q2 sales +5% reported but</w:t>
      </w:r>
      <w:r>
        <w:t xml:space="preserve"> </w:t>
      </w:r>
      <w:r>
        <w:rPr>
          <w:b/>
          <w:bCs/>
        </w:rPr>
        <w:t xml:space="preserve">-0.5% organic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Auto: +2% reported / -4% organic</w:t>
      </w:r>
      <w:r>
        <w:t xml:space="preserve"> </w:t>
      </w:r>
      <w:r>
        <w:t xml:space="preserve">— content growth (running at the</w:t>
      </w:r>
      <w:r>
        <w:t xml:space="preserve"> </w:t>
      </w:r>
      <w:r>
        <w:rPr>
          <w:i/>
          <w:iCs/>
        </w:rPr>
        <w:t xml:space="preserve">low end</w:t>
      </w:r>
      <w:r>
        <w:t xml:space="preserve"> </w:t>
      </w:r>
      <w:r>
        <w:t xml:space="preserve">of the 4–6% over-market target) is being offset by flat-to-down global production (~88–89M units).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Commercial transportation: +21% reported / +17% organic</w:t>
      </w:r>
      <w:r>
        <w:t xml:space="preserve"> </w:t>
      </w:r>
      <w:r>
        <w:t xml:space="preserve">— a genuine bright spot, well above a ~4% market, on share gains and content.</w:t>
      </w:r>
    </w:p>
    <w:p>
      <w:r>
        <w:pict>
          <v:rect style="width:0;height:1.5pt" o:hralign="center" o:hrstd="t" o:hr="t"/>
        </w:pict>
      </w:r>
    </w:p>
    <w:bookmarkEnd w:id="11"/>
    <w:bookmarkStart w:id="12" w:name="what-ill-be-watching-wednesday"/>
    <w:p>
      <w:pPr>
        <w:pStyle w:val="Heading2"/>
      </w:pPr>
      <w:r>
        <w:t xml:space="preserve">What I'll be watching Wednesday</w:t>
      </w:r>
    </w:p>
    <w:p>
      <w:pPr>
        <w:pStyle w:val="FirstParagraph"/>
      </w:pPr>
      <w:r>
        <w:rPr>
          <w:b/>
          <w:bCs/>
        </w:rPr>
        <w:t xml:space="preserve">1. Orders — the single most important number.</w:t>
      </w:r>
      <w:r>
        <w:t xml:space="preserve"> </w:t>
      </w:r>
      <w:r>
        <w:t xml:space="preserve">After ~$10B of orders stacked in 1H (F1Q $5.0B, F2Q $5.3B), the durability and book-to-bill of the June-quarter orders will tell you whether the DDN/energy backlog build is still compounding. Management said quarter-to-date orders remained "very strong" through late April with no negative demand impact from geopolitical conflict.</w:t>
      </w:r>
    </w:p>
    <w:p>
      <w:pPr>
        <w:pStyle w:val="BodyText"/>
      </w:pPr>
      <w:r>
        <w:rPr>
          <w:b/>
          <w:bCs/>
        </w:rPr>
        <w:t xml:space="preserve">2. AI/DDN cadence and the copper-vs-optical narrative.</w:t>
      </w:r>
      <w:r>
        <w:t xml:space="preserve"> </w:t>
      </w:r>
      <w:r>
        <w:t xml:space="preserve">DDN revenue was oddly flat sequentially for two quarters despite booming orders (timing/program ramps). The 2H step-up is the crux of the raised full-year AI number, so watch the sequential DDN revenue acceleration. Also watch commentary on the</w:t>
      </w:r>
      <w:r>
        <w:t xml:space="preserve"> </w:t>
      </w:r>
      <w:r>
        <w:rPr>
          <w:b/>
          <w:bCs/>
        </w:rPr>
        <w:t xml:space="preserve">RAM Photonics / passive optical acquisition</w:t>
      </w:r>
      <w:r>
        <w:t xml:space="preserve"> </w:t>
      </w:r>
      <w:r>
        <w:t xml:space="preserve">and CPO — management insists it's "copper</w:t>
      </w:r>
      <w:r>
        <w:t xml:space="preserve"> </w:t>
      </w:r>
      <w:r>
        <w:rPr>
          <w:i/>
          <w:iCs/>
        </w:rPr>
        <w:t xml:space="preserve">and</w:t>
      </w:r>
      <w:r>
        <w:t xml:space="preserve"> </w:t>
      </w:r>
      <w:r>
        <w:t xml:space="preserve">optical," with copper remaining the in-rack workhorse and optics additive in scale-out.</w:t>
      </w:r>
    </w:p>
    <w:p>
      <w:pPr>
        <w:pStyle w:val="BodyText"/>
      </w:pPr>
      <w:r>
        <w:rPr>
          <w:b/>
          <w:bCs/>
        </w:rPr>
        <w:t xml:space="preserve">3. Margins vs. input inflation.</w:t>
      </w:r>
      <w:r>
        <w:t xml:space="preserve"> </w:t>
      </w:r>
      <w:r>
        <w:t xml:space="preserve">Management flagged rising</w:t>
      </w:r>
      <w:r>
        <w:t xml:space="preserve"> </w:t>
      </w:r>
      <w:r>
        <w:rPr>
          <w:b/>
          <w:bCs/>
        </w:rPr>
        <w:t xml:space="preserve">oil-based resins and freight costs</w:t>
      </w:r>
      <w:r>
        <w:t xml:space="preserve"> </w:t>
      </w:r>
      <w:r>
        <w:t xml:space="preserve">plus tariffs. They target ≥30% incremental flow-through and pass costs through via price, but timing lags can create near-term "noise." Street wants ~21.9% adj. op margin; any margin pressure despite strong revenue would be a red flag.</w:t>
      </w:r>
    </w:p>
    <w:p>
      <w:pPr>
        <w:pStyle w:val="BodyText"/>
      </w:pPr>
      <w:r>
        <w:rPr>
          <w:b/>
          <w:bCs/>
        </w:rPr>
        <w:t xml:space="preserve">4. Auto/production tone.</w:t>
      </w:r>
      <w:r>
        <w:t xml:space="preserve"> </w:t>
      </w:r>
      <w:r>
        <w:t xml:space="preserve">With auto organic negative and North America production weaker, watch whether content growth stays at the low end of 4–6% and any color on 2H auto being "up" as promised.</w:t>
      </w:r>
    </w:p>
    <w:p>
      <w:pPr>
        <w:pStyle w:val="BodyText"/>
      </w:pPr>
      <w:r>
        <w:rPr>
          <w:b/>
          <w:bCs/>
        </w:rPr>
        <w:t xml:space="preserve">5. Guidance for F4Q26 and the FY26 frame.</w:t>
      </w:r>
      <w:r>
        <w:t xml:space="preserve"> </w:t>
      </w:r>
      <w:r>
        <w:t xml:space="preserve">Management has framed FY26 as</w:t>
      </w:r>
      <w:r>
        <w:t xml:space="preserve"> </w:t>
      </w:r>
      <w:r>
        <w:rPr>
          <w:b/>
          <w:bCs/>
        </w:rPr>
        <w:t xml:space="preserve">&gt;$2B of total growth</w:t>
      </w:r>
      <w:r>
        <w:t xml:space="preserve"> </w:t>
      </w:r>
      <w:r>
        <w:t xml:space="preserve">(vs. $1.4B last year), ahead of through-cycle targets. Watch whether the AI raise gets extended again and how they set up the September quarter.</w:t>
      </w:r>
    </w:p>
    <w:p>
      <w:pPr>
        <w:pStyle w:val="BodyText"/>
      </w:pPr>
      <w:r>
        <w:rPr>
          <w:b/>
          <w:bCs/>
        </w:rPr>
        <w:t xml:space="preserve">6. FX as a possible tailwind.</w:t>
      </w:r>
      <w:r>
        <w:t xml:space="preserve"> </w:t>
      </w:r>
      <w:r>
        <w:t xml:space="preserve">The April guide assumed only a small translation benefit; the U.S. dollar has generally been soft since, which could provide upside to the ~$5B revenue guide (translation added $184M to Q2 sales).</w:t>
      </w:r>
    </w:p>
    <w:p>
      <w:r>
        <w:pict>
          <v:rect style="width:0;height:1.5pt" o:hralign="center" o:hrstd="t" o:hr="t"/>
        </w:pict>
      </w:r>
    </w:p>
    <w:bookmarkEnd w:id="12"/>
    <w:bookmarkStart w:id="13" w:name="capital-allocation-a-steady-positive"/>
    <w:p>
      <w:pPr>
        <w:pStyle w:val="Heading2"/>
      </w:pPr>
      <w:r>
        <w:t xml:space="preserve">Capital allocation (a steady positive)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Dividend raised 10%</w:t>
      </w:r>
      <w:r>
        <w:t xml:space="preserve"> </w:t>
      </w:r>
      <w:r>
        <w:t xml:space="preserve">in Q2; ~100% of free cash flow returned YTD ($1.2B in 1H via buybacks + dividends).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Record 1H FCF of $1.3B</w:t>
      </w:r>
      <w:r>
        <w:t xml:space="preserve"> </w:t>
      </w:r>
      <w:r>
        <w:t xml:space="preserve">(+17% y/y); management reiterates ~100% FCF conversion for the year.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CapEx elevated at ~6% of revenue</w:t>
      </w:r>
      <w:r>
        <w:t xml:space="preserve">, almost entirely for AI/DDN program ramps (tied to specific awards — a forward demand signal).</w:t>
      </w:r>
    </w:p>
    <w:p>
      <w:pPr>
        <w:pStyle w:val="Compact"/>
        <w:numPr>
          <w:ilvl w:val="0"/>
          <w:numId w:val="1004"/>
        </w:numPr>
      </w:pPr>
      <w:r>
        <w:t xml:space="preserve">M&amp;A pipeline described as "pretty active" — expect continued bolt-ons (Richards, RAM Photonics) rather than large deals or divestitures.</w:t>
      </w:r>
    </w:p>
    <w:p>
      <w:pPr>
        <w:pStyle w:val="Compact"/>
        <w:numPr>
          <w:ilvl w:val="0"/>
          <w:numId w:val="1004"/>
        </w:numPr>
      </w:pPr>
      <w:r>
        <w:t xml:space="preserve">Restructuring ~$100M for FY26; tax rate ~23% in Q3, ~22% full year.</w:t>
      </w:r>
    </w:p>
    <w:p>
      <w:r>
        <w:pict>
          <v:rect style="width:0;height:1.5pt" o:hralign="center" o:hrstd="t" o:hr="t"/>
        </w:pict>
      </w:r>
    </w:p>
    <w:bookmarkEnd w:id="13"/>
    <w:bookmarkStart w:id="14" w:name="stock-context--the-risk-that-matters"/>
    <w:p>
      <w:pPr>
        <w:pStyle w:val="Heading2"/>
      </w:pPr>
      <w:r>
        <w:t xml:space="preserve">Stock context — the risk that matters</w:t>
      </w:r>
    </w:p>
    <w:p>
      <w:pPr>
        <w:pStyle w:val="FirstParagraph"/>
      </w:pPr>
      <w:r>
        <w:t xml:space="preserve">This is where caution is warranted. Despite the strong Q2 beat-and-raise,</w:t>
      </w:r>
      <w:r>
        <w:t xml:space="preserve"> </w:t>
      </w:r>
      <w:r>
        <w:rPr>
          <w:b/>
          <w:bCs/>
        </w:rPr>
        <w:t xml:space="preserve">TEL fell ~9% the next session (from ~</w:t>
      </w:r>
      <m:oMath>
        <m:r>
          <m:t>243</m:t>
        </m:r>
        <m:r>
          <m:t>t</m:t>
        </m:r>
        <m:r>
          <m:t>o</m:t>
        </m:r>
        <m:r>
          <m:t> </m:t>
        </m:r>
      </m:oMath>
      <w:r>
        <w:rPr>
          <w:b/>
          <w:bCs/>
        </w:rPr>
        <w:t xml:space="preserve">221 on April 22)</w:t>
      </w:r>
      <w:r>
        <w:t xml:space="preserve"> </w:t>
      </w:r>
      <w:r>
        <w:t xml:space="preserve">— a classic "sell-the-news" reaction. The shares:</w:t>
      </w:r>
    </w:p>
    <w:p>
      <w:pPr>
        <w:pStyle w:val="Compact"/>
        <w:numPr>
          <w:ilvl w:val="0"/>
          <w:numId w:val="1005"/>
        </w:numPr>
      </w:pPr>
      <w:r>
        <w:t xml:space="preserve">Closed</w:t>
      </w:r>
      <w:r>
        <w:t xml:space="preserve"> </w:t>
      </w:r>
      <w:r>
        <w:rPr>
          <w:b/>
          <w:bCs/>
        </w:rPr>
        <w:t xml:space="preserve">$209.05 on July 21</w:t>
      </w:r>
      <w:r>
        <w:t xml:space="preserve">, having recovered off June lows near $197.</w:t>
      </w:r>
    </w:p>
    <w:p>
      <w:pPr>
        <w:pStyle w:val="Compact"/>
        <w:numPr>
          <w:ilvl w:val="0"/>
          <w:numId w:val="1005"/>
        </w:numPr>
      </w:pPr>
      <w:r>
        <w:t xml:space="preserve">Are down roughly</w:t>
      </w:r>
      <w:r>
        <w:t xml:space="preserve"> </w:t>
      </w:r>
      <w:r>
        <w:rPr>
          <w:b/>
          <w:bCs/>
        </w:rPr>
        <w:t xml:space="preserve">10% YTD</w:t>
      </w:r>
      <w:r>
        <w:t xml:space="preserve"> </w:t>
      </w:r>
      <w:r>
        <w:t xml:space="preserve">(from ~$233 at the start of January) and ~15% below the April high near $248.</w:t>
      </w:r>
    </w:p>
    <w:p>
      <w:pPr>
        <w:pStyle w:val="FirstParagraph"/>
      </w:pPr>
      <w:r>
        <w:t xml:space="preserve">The pre-earnings sentiment read is</w:t>
      </w:r>
      <w:r>
        <w:t xml:space="preserve"> </w:t>
      </w:r>
      <w:r>
        <w:rPr>
          <w:b/>
          <w:bCs/>
        </w:rPr>
        <w:t xml:space="preserve">neutral</w:t>
      </w:r>
      <w:r>
        <w:t xml:space="preserve">: healthy AI and grid-modernization demand offset by margin worries and auto-demand uncertainty. With consensus sitting on the guide and the stock having already faded prior beats, the bar for a positive reaction is high — the print likely needs a</w:t>
      </w:r>
      <w:r>
        <w:t xml:space="preserve"> </w:t>
      </w:r>
      <w:r>
        <w:rPr>
          <w:b/>
          <w:bCs/>
        </w:rPr>
        <w:t xml:space="preserve">beat + raise + reassuring orders/margins</w:t>
      </w:r>
      <w:r>
        <w:t xml:space="preserve">, not just an in-line quarter.</w:t>
      </w:r>
    </w:p>
    <w:p>
      <w:r>
        <w:pict>
          <v:rect style="width:0;height:1.5pt" o:hralign="center" o:hrstd="t" o:hr="t"/>
        </w:pict>
      </w:r>
    </w:p>
    <w:bookmarkEnd w:id="14"/>
    <w:bookmarkStart w:id="15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Expect another quarter of double-digit sales and EPS growth (guide ~</w:t>
      </w:r>
      <m:oMath>
        <m:r>
          <m:t>5.0</m:t>
        </m:r>
        <m:r>
          <m:t>B</m:t>
        </m:r>
        <m:r>
          <m:rPr>
            <m:sty m:val="p"/>
          </m:rPr>
          <m:t>/</m:t>
        </m:r>
        <m:r>
          <m:t> </m:t>
        </m:r>
      </m:oMath>
      <w:r>
        <w:t xml:space="preserve">2.83; Street ~$2.84 / 21.9% margin), powered by AI/DDN and energy in Industrial, with Transportation still a drag on the auto side but helped by commercial transportation. The fundamental story is intact and arguably accelerating. The tension is expectations and price action: given the post-Q2 selloff and a consensus already parked on guidance,</w:t>
      </w:r>
      <w:r>
        <w:t xml:space="preserve"> </w:t>
      </w:r>
      <w:r>
        <w:rPr>
          <w:b/>
          <w:bCs/>
        </w:rPr>
        <w:t xml:space="preserve">orders trajectory, the 2H AI ramp confirmation, and margin resilience against resin/freight inflation</w:t>
      </w:r>
      <w:r>
        <w:t xml:space="preserve"> </w:t>
      </w:r>
      <w:r>
        <w:t xml:space="preserve">are the swing factors for how the stock trades — more so than the headline EPS itself.</w:t>
      </w:r>
    </w:p>
    <w:p>
      <w:pPr>
        <w:pStyle w:val="BodyText"/>
      </w:pPr>
      <w:r>
        <w:rPr>
          <w:i/>
          <w:iCs/>
        </w:rPr>
        <w:t xml:space="preserve">Note: All figures are from TE Connectivity's own earnings releases/transcripts and market data; nothing here is investment advice.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2026-07-22T00:14:43Z</dcterms:created>
  <dcterms:modified xsi:type="dcterms:W3CDTF">2026-07-22T00:14:43Z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