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l-earnings-predictions--2026-07-22"/>
    <w:p>
      <w:pPr>
        <w:pStyle w:val="Heading1"/>
      </w:pPr>
      <w:r>
        <w:t xml:space="preserve">TEL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~$5.05B vs. cons $5.00B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~$2.87 vs. cons $2.84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~22.0% vs. cons 21.9%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net sales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5.05B (Q4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2.90 (Q4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AI/DDN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~$2.5B vs. cons/prior guide $2.4B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Order momentum / book-to-bill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book-to-bill ~1.05x vs. prior record 1.12x (Q3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Stock ran up ~3% into the print on sector-wide AI-capex euphoria (ASML raise, AMD/MSFT deal, TSM price hikes) with no TEL-specific catalyst, front-loading optimism. Q3 results/guide are already well-telegraphed (in line with TE's own April guide), so an in-line-to-modest beat is unlikely to justify the pre-print pop; any sign that DDN/AI revenue conversion (vs. orders) is still lumpy, orders decelerate off the record</w:t>
            </w:r>
            <w:r>
              <w:t xml:space="preserve"> </w:t>
            </w:r>
            <m:oMath>
              <m:r>
                <m:t>5.3</m:t>
              </m:r>
              <m:r>
                <m:t>B</m:t>
              </m:r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c</m:t>
              </m:r>
              <m:r>
                <m:t>o</m:t>
              </m:r>
              <m:r>
                <m:t>m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r</m:t>
              </m:r>
              <m:r>
                <m:t>y</m:t>
              </m:r>
              <m:r>
                <m:t>f</m:t>
              </m:r>
              <m:r>
                <m:t>l</m:t>
              </m:r>
              <m:r>
                <m:t>a</m:t>
              </m:r>
              <m:r>
                <m:t>g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u</m:t>
              </m:r>
              <m:r>
                <m:t>e</m:t>
              </m:r>
              <m:r>
                <m:t>d</m:t>
              </m:r>
              <m:r>
                <m:t>t</m:t>
              </m:r>
              <m:r>
                <m:t>a</m:t>
              </m:r>
              <m:r>
                <m:t>r</m:t>
              </m:r>
              <m:r>
                <m:t>i</m:t>
              </m:r>
              <m:r>
                <m:t>f</m:t>
              </m:r>
              <m:r>
                <m:t>f</m:t>
              </m:r>
              <m:r>
                <m:rPr>
                  <m:sty m:val="p"/>
                </m:rPr>
                <m:t>/</m:t>
              </m:r>
              <m:r>
                <m:t>i</m:t>
              </m:r>
              <m:r>
                <m:t>n</m:t>
              </m:r>
              <m:r>
                <m:t>p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p</m:t>
              </m:r>
              <m:r>
                <m:t>r</m:t>
              </m:r>
              <m:r>
                <m:t>e</m:t>
              </m:r>
              <m:r>
                <m:t>s</m:t>
              </m:r>
              <m:r>
                <m:t>s</m:t>
              </m:r>
              <m:r>
                <m:t>u</m:t>
              </m:r>
              <m:r>
                <m:t>r</m:t>
              </m:r>
              <m:r>
                <m:t>e</m:t>
              </m:r>
              <m:r>
                <m:t>w</m:t>
              </m:r>
              <m:r>
                <m:t>i</m:t>
              </m:r>
              <m:r>
                <m:t>l</m:t>
              </m:r>
              <m:r>
                <m:t>l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A</m:t>
              </m:r>
              <m:r>
                <m:t>p</m:t>
              </m:r>
              <m:r>
                <m:t>r</m:t>
              </m:r>
              <m:r>
                <m:t>i</m:t>
              </m:r>
              <m:r>
                <m:t>l</m:t>
              </m:r>
              <m:sSup>
                <m:e>
                  <m:r>
                    <m:t>22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r</m:t>
              </m:r>
              <m:r>
                <m:t>o</m:t>
              </m:r>
              <m:sSup>
                <m:e>
                  <m:r>
                    <m:t>p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r</m:t>
              </m:r>
              <m:r>
                <m:t>e</m:t>
              </m:r>
              <m:r>
                <m:t>p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e</m:t>
              </m:r>
              <m:r>
                <m:t>r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k</m:t>
              </m:r>
              <m:r>
                <m:t>e</m:t>
              </m:r>
              <m:r>
                <m:t>p</m:t>
              </m:r>
              <m:r>
                <m:t>t</m:t>
              </m:r>
              <m:r>
                <m:t>s</m:t>
              </m:r>
              <m:r>
                <m:t>l</m:t>
              </m:r>
              <m:r>
                <m:t>i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o</m:t>
              </m:r>
              <m:r>
                <m:t>r</m:t>
              </m:r>
              <m:r>
                <m:t> </m:t>
              </m:r>
              <m:r>
                <m:t>5</m:t>
              </m:r>
              <m:r>
                <m:t>t</m:t>
              </m:r>
              <m:r>
                <m:t>r</m:t>
              </m:r>
              <m:r>
                <m:t>a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d</m:t>
              </m:r>
              <m:r>
                <m:t>a</m:t>
              </m:r>
              <m:r>
                <m:t>y</m:t>
              </m:r>
              <m:r>
                <m:t>s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 </m:t>
              </m:r>
            </m:oMath>
            <w:r>
              <w:t xml:space="preserve">221 to ~$204) as sell-side trimmed FY26/FY27 DDN and margin estimates despite the headline beat. Absent a decisively raised AI/DDN outlook or a big order re-acceleration, out-period estimate cuts (Q4/FY27) are more likely than upward revisions, arguing for follow-through weakness rather than a snapback.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2026-07-22T00:15:49Z</dcterms:created>
  <dcterms:modified xsi:type="dcterms:W3CDTF">2026-07-22T00:15:49Z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