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 w:name="X5d362b6a96862c0199a3707d67bdd151bea0ad6"/>
    <w:p>
      <w:pPr>
        <w:pStyle w:val="Heading1"/>
      </w:pPr>
      <w:r>
        <w:t xml:space="preserve">TE Connectivity (TEL) — FQ3 2026 Earnings Preview</w:t>
      </w:r>
    </w:p>
    <w:p>
      <w:pPr>
        <w:pStyle w:val="FirstParagraph"/>
      </w:pPr>
      <w:r>
        <w:rPr>
          <w:b/>
          <w:bCs/>
        </w:rPr>
        <w:t xml:space="preserve">Report Date:</w:t>
      </w:r>
      <w:r>
        <w:t xml:space="preserve"> </w:t>
      </w:r>
      <w:r>
        <w:t xml:space="preserve">Wednesday, July 22, 2026 (before market open) |</w:t>
      </w:r>
      <w:r>
        <w:t xml:space="preserve"> </w:t>
      </w:r>
      <w:r>
        <w:rPr>
          <w:b/>
          <w:bCs/>
        </w:rPr>
        <w:t xml:space="preserve">Fiscal Period:</w:t>
      </w:r>
      <w:r>
        <w:t xml:space="preserve"> </w:t>
      </w:r>
      <w:r>
        <w:t xml:space="preserve">Q3 FY2026 (quarter ended ~June 26, 2026)</w:t>
      </w:r>
    </w:p>
    <w:p>
      <w:r>
        <w:pict>
          <v:rect style="width:0;height:1.5pt" o:hralign="center" o:hrstd="t" o:hr="t"/>
        </w:pict>
      </w:r>
    </w:p>
    <w:bookmarkStart w:id="9" w:name="setup-into-the-print"/>
    <w:p>
      <w:pPr>
        <w:pStyle w:val="Heading2"/>
      </w:pPr>
      <w:r>
        <w:t xml:space="preserve">Setup Into the Print</w:t>
      </w:r>
    </w:p>
    <w:p>
      <w:pPr>
        <w:pStyle w:val="FirstParagraph"/>
      </w:pPr>
      <w:r>
        <w:t xml:space="preserve">TEL shares closed around **</w:t>
      </w:r>
      <m:oMath>
        <m:r>
          <m:t>209</m:t>
        </m:r>
        <m:r>
          <m:rPr>
            <m:sty m:val="p"/>
          </m:rPr>
          <m:t>*</m:t>
        </m:r>
        <m:r>
          <m:rPr>
            <m:sty m:val="p"/>
          </m:rPr>
          <m:t>*</m:t>
        </m:r>
        <m:r>
          <m:t>o</m:t>
        </m:r>
        <m:r>
          <m:t>n</m:t>
        </m:r>
        <m:r>
          <m:t>J</m:t>
        </m:r>
        <m:r>
          <m:t>u</m:t>
        </m:r>
        <m:r>
          <m:t>l</m:t>
        </m:r>
        <m:r>
          <m:t>y</m:t>
        </m:r>
        <m:r>
          <m:t>21</m:t>
        </m:r>
        <m:r>
          <m:rPr>
            <m:sty m:val="p"/>
          </m:rPr>
          <m:t>,</m:t>
        </m:r>
        <m:r>
          <m:t>r</m:t>
        </m:r>
        <m:r>
          <m:t>o</m:t>
        </m:r>
        <m:r>
          <m:t>u</m:t>
        </m:r>
        <m:r>
          <m:t>g</m:t>
        </m:r>
        <m:r>
          <m:t>h</m:t>
        </m:r>
        <m:r>
          <m:t>l</m:t>
        </m:r>
        <m:r>
          <m:t>y</m:t>
        </m:r>
        <m:r>
          <m:rPr>
            <m:sty m:val="p"/>
          </m:rPr>
          <m:t>*</m:t>
        </m:r>
        <m:r>
          <m:rPr>
            <m:sty m:val="p"/>
          </m:rPr>
          <m:t>*</m:t>
        </m:r>
        <m:r>
          <m:t>13</m:t>
        </m:r>
      </m:oMath>
      <w:r>
        <w:t xml:space="preserve">247 hit in mid-April, and still well below the **~</w:t>
      </w:r>
      <m:oMath>
        <m:r>
          <m:t>243</m:t>
        </m:r>
        <m:r>
          <m:rPr>
            <m:sty m:val="p"/>
          </m:rPr>
          <m:t>*</m:t>
        </m:r>
        <m:r>
          <m:rPr>
            <m:sty m:val="p"/>
          </m:rPr>
          <m:t>*</m:t>
        </m:r>
        <m:r>
          <m:t>l</m:t>
        </m:r>
        <m:r>
          <m:t>e</m:t>
        </m:r>
        <m:r>
          <m:t>v</m:t>
        </m:r>
        <m:r>
          <m:t>e</m:t>
        </m:r>
        <m:r>
          <m:t>l</m:t>
        </m:r>
        <m:r>
          <m:t>t</m:t>
        </m:r>
        <m:r>
          <m:t>h</m:t>
        </m:r>
        <m:r>
          <m:t>e</m:t>
        </m:r>
        <m:r>
          <m:t>s</m:t>
        </m:r>
        <m:r>
          <m:t>t</m:t>
        </m:r>
        <m:r>
          <m:t>o</m:t>
        </m:r>
        <m:r>
          <m:t>c</m:t>
        </m:r>
        <m:r>
          <m:t>k</m:t>
        </m:r>
        <m:r>
          <m:t>t</m:t>
        </m:r>
        <m:r>
          <m:t>r</m:t>
        </m:r>
        <m:r>
          <m:t>a</m:t>
        </m:r>
        <m:r>
          <m:t>d</m:t>
        </m:r>
        <m:r>
          <m:t>e</m:t>
        </m:r>
        <m:r>
          <m:t>d</m:t>
        </m:r>
        <m:r>
          <m:t>a</m:t>
        </m:r>
        <m:r>
          <m:t>t</m:t>
        </m:r>
        <m:r>
          <m:t>r</m:t>
        </m:r>
        <m:r>
          <m:t>i</m:t>
        </m:r>
        <m:r>
          <m:t>g</m:t>
        </m:r>
        <m:r>
          <m:t>h</m:t>
        </m:r>
        <m:r>
          <m:t>t</m:t>
        </m:r>
        <m:r>
          <m:t>b</m:t>
        </m:r>
        <m:r>
          <m:t>e</m:t>
        </m:r>
        <m:r>
          <m:t>f</m:t>
        </m:r>
        <m:r>
          <m:t>o</m:t>
        </m:r>
        <m:r>
          <m:t>r</m:t>
        </m:r>
        <m:r>
          <m:t>e</m:t>
        </m:r>
        <m:r>
          <m:t>i</m:t>
        </m:r>
        <m:r>
          <m:t>t</m:t>
        </m:r>
        <m:r>
          <m:t>s</m:t>
        </m:r>
        <m:r>
          <m:t>l</m:t>
        </m:r>
        <m:r>
          <m:t>a</m:t>
        </m:r>
        <m:r>
          <m:t>s</m:t>
        </m:r>
        <m:r>
          <m:t>t</m:t>
        </m:r>
        <m:r>
          <m:t>e</m:t>
        </m:r>
        <m:r>
          <m:t>a</m:t>
        </m:r>
        <m:r>
          <m:t>r</m:t>
        </m:r>
        <m:r>
          <m:t>n</m:t>
        </m:r>
        <m:r>
          <m:t>i</m:t>
        </m:r>
        <m:r>
          <m:t>n</m:t>
        </m:r>
        <m:r>
          <m:t>g</m:t>
        </m:r>
        <m:r>
          <m:t>s</m:t>
        </m:r>
        <m:r>
          <m:t>r</m:t>
        </m:r>
        <m:r>
          <m:t>e</m:t>
        </m:r>
        <m:r>
          <m:t>p</m:t>
        </m:r>
        <m:r>
          <m:t>o</m:t>
        </m:r>
        <m:r>
          <m:t>r</m:t>
        </m:r>
        <m:r>
          <m:t>t</m:t>
        </m:r>
        <m:r>
          <m:rPr>
            <m:sty m:val="p"/>
          </m:rPr>
          <m:t>—</m:t>
        </m:r>
        <m:r>
          <m:t>d</m:t>
        </m:r>
        <m:r>
          <m:t>e</m:t>
        </m:r>
        <m:r>
          <m:t>s</m:t>
        </m:r>
        <m:r>
          <m:t>p</m:t>
        </m:r>
        <m:r>
          <m:t>i</m:t>
        </m:r>
        <m:r>
          <m:t>t</m:t>
        </m:r>
        <m:r>
          <m:t>e</m:t>
        </m:r>
        <m:r>
          <m:t>t</m:t>
        </m:r>
        <m:r>
          <m:t>h</m:t>
        </m:r>
        <m:r>
          <m:t>a</m:t>
        </m:r>
        <m:r>
          <m:t>t</m:t>
        </m:r>
        <m:r>
          <m:t>r</m:t>
        </m:r>
        <m:r>
          <m:t>e</m:t>
        </m:r>
        <m:r>
          <m:t>p</m:t>
        </m:r>
        <m:r>
          <m:t>o</m:t>
        </m:r>
        <m:r>
          <m:t>r</m:t>
        </m:r>
        <m:r>
          <m:t>t</m:t>
        </m:r>
        <m:r>
          <m:t>b</m:t>
        </m:r>
        <m:r>
          <m:t>e</m:t>
        </m:r>
        <m:r>
          <m:t>a</m:t>
        </m:r>
        <m:r>
          <m:t>t</m:t>
        </m:r>
        <m:r>
          <m:t>i</m:t>
        </m:r>
        <m:r>
          <m:t>n</m:t>
        </m:r>
        <m:r>
          <m:t>g</m:t>
        </m:r>
        <m:r>
          <m:t>g</m:t>
        </m:r>
        <m:r>
          <m:t>u</m:t>
        </m:r>
        <m:r>
          <m:t>i</m:t>
        </m:r>
        <m:r>
          <m:t>d</m:t>
        </m:r>
        <m:r>
          <m:t>a</m:t>
        </m:r>
        <m:r>
          <m:t>n</m:t>
        </m:r>
        <m:r>
          <m:t>c</m:t>
        </m:r>
        <m:r>
          <m:t>e</m:t>
        </m:r>
        <m:r>
          <m:t>o</m:t>
        </m:r>
        <m:r>
          <m:t>n</m:t>
        </m:r>
        <m:r>
          <m:t>e</m:t>
        </m:r>
        <m:r>
          <m:t>v</m:t>
        </m:r>
        <m:r>
          <m:t>e</m:t>
        </m:r>
        <m:r>
          <m:t>r</m:t>
        </m:r>
        <m:r>
          <m:t>y</m:t>
        </m:r>
        <m:r>
          <m:t>h</m:t>
        </m:r>
        <m:r>
          <m:t>e</m:t>
        </m:r>
        <m:r>
          <m:t>a</m:t>
        </m:r>
        <m:r>
          <m:t>d</m:t>
        </m:r>
        <m:r>
          <m:t>l</m:t>
        </m:r>
        <m:r>
          <m:t>i</m:t>
        </m:r>
        <m:r>
          <m:t>n</m:t>
        </m:r>
        <m:r>
          <m:t>e</m:t>
        </m:r>
        <m:r>
          <m:t>m</m:t>
        </m:r>
        <m:r>
          <m:t>e</m:t>
        </m:r>
        <m:r>
          <m:t>t</m:t>
        </m:r>
        <m:r>
          <m:t>r</m:t>
        </m:r>
        <m:r>
          <m:t>i</m:t>
        </m:r>
        <m:r>
          <m:t>c</m:t>
        </m:r>
        <m:r>
          <m:rPr>
            <m:sty m:val="p"/>
          </m:rPr>
          <m:t>.</m:t>
        </m:r>
        <m:r>
          <m:t>T</m:t>
        </m:r>
        <m:r>
          <m:t>h</m:t>
        </m:r>
        <m:r>
          <m:t>e</m:t>
        </m:r>
        <m:r>
          <m:t>s</m:t>
        </m:r>
        <m:r>
          <m:t>t</m:t>
        </m:r>
        <m:r>
          <m:t>o</m:t>
        </m:r>
        <m:r>
          <m:t>c</m:t>
        </m:r>
        <m:r>
          <m:t>k</m:t>
        </m:r>
        <m:r>
          <m:t>h</m:t>
        </m:r>
        <m:r>
          <m:t>a</m:t>
        </m:r>
        <m:r>
          <m:t>s</m:t>
        </m:r>
        <m:r>
          <m:t>b</m:t>
        </m:r>
        <m:r>
          <m:t>e</m:t>
        </m:r>
        <m:r>
          <m:t>e</m:t>
        </m:r>
        <m:r>
          <m:t>n</m:t>
        </m:r>
        <m:r>
          <m:t>r</m:t>
        </m:r>
        <m:r>
          <m:t>a</m:t>
        </m:r>
        <m:r>
          <m:t>n</m:t>
        </m:r>
        <m:r>
          <m:t>g</m:t>
        </m:r>
        <m:r>
          <m:t>e</m:t>
        </m:r>
        <m:r>
          <m:t>b</m:t>
        </m:r>
        <m:r>
          <m:t>o</m:t>
        </m:r>
        <m:r>
          <m:t>u</m:t>
        </m:r>
        <m:r>
          <m:t>n</m:t>
        </m:r>
        <m:r>
          <m:t>d</m:t>
        </m:r>
        <m:r>
          <m:t>i</m:t>
        </m:r>
        <m:r>
          <m:t>n</m:t>
        </m:r>
        <m:r>
          <m:t>t</m:t>
        </m:r>
        <m:r>
          <m:t>h</m:t>
        </m:r>
        <m:r>
          <m:t>e</m:t>
        </m:r>
        <m:r>
          <m:t>h</m:t>
        </m:r>
        <m:r>
          <m:t>i</m:t>
        </m:r>
        <m:r>
          <m:t>g</m:t>
        </m:r>
        <m:r>
          <m:t>h</m:t>
        </m:r>
        <m:r>
          <m:rPr>
            <m:sty m:val="p"/>
          </m:rPr>
          <m:t>−</m:t>
        </m:r>
      </m:oMath>
      <w:r>
        <w:t xml:space="preserve">190s to low-</w:t>
      </w:r>
      <m:oMath>
        <m:r>
          <m:t>220</m:t>
        </m:r>
        <m:r>
          <m:t>s</m:t>
        </m:r>
        <m:r>
          <m:t>s</m:t>
        </m:r>
        <m:r>
          <m:t>i</m:t>
        </m:r>
        <m:r>
          <m:t>n</m:t>
        </m:r>
        <m:r>
          <m:t>c</m:t>
        </m:r>
        <m:r>
          <m:t>e</m:t>
        </m:r>
        <m:r>
          <m:t>t</m:t>
        </m:r>
        <m:r>
          <m:t>h</m:t>
        </m:r>
        <m:r>
          <m:t>e</m:t>
        </m:r>
        <m:r>
          <m:t>A</m:t>
        </m:r>
        <m:r>
          <m:t>p</m:t>
        </m:r>
        <m:r>
          <m:t>r</m:t>
        </m:r>
        <m:r>
          <m:t>i</m:t>
        </m:r>
        <m:r>
          <m:t>l</m:t>
        </m:r>
        <m:r>
          <m:t>22</m:t>
        </m:r>
        <m:r>
          <m:t>p</m:t>
        </m:r>
        <m:r>
          <m:t>r</m:t>
        </m:r>
        <m:r>
          <m:t>i</m:t>
        </m:r>
        <m:r>
          <m:t>n</m:t>
        </m:r>
        <m:r>
          <m:t>t</m:t>
        </m:r>
        <m:r>
          <m:rPr>
            <m:sty m:val="p"/>
          </m:rPr>
          <m:t>,</m:t>
        </m:r>
        <m:r>
          <m:t>w</m:t>
        </m:r>
        <m:r>
          <m:t>h</m:t>
        </m:r>
        <m:r>
          <m:t>e</m:t>
        </m:r>
        <m:r>
          <m:t>n</m:t>
        </m:r>
        <m:r>
          <m:t>s</m:t>
        </m:r>
        <m:r>
          <m:t>h</m:t>
        </m:r>
        <m:r>
          <m:t>a</m:t>
        </m:r>
        <m:r>
          <m:t>r</m:t>
        </m:r>
        <m:r>
          <m:t>e</m:t>
        </m:r>
        <m:r>
          <m:t>s</m:t>
        </m:r>
        <m:r>
          <m:t>f</m:t>
        </m:r>
        <m:r>
          <m:t>e</m:t>
        </m:r>
        <m:r>
          <m:t>l</m:t>
        </m:r>
        <m:r>
          <m:t>l</m:t>
        </m:r>
        <m:r>
          <m:t>f</m:t>
        </m:r>
        <m:r>
          <m:t>r</m:t>
        </m:r>
        <m:r>
          <m:t>o</m:t>
        </m:r>
        <m:r>
          <m:t>m</m:t>
        </m:r>
        <m:r>
          <m:t> </m:t>
        </m:r>
      </m:oMath>
      <w:r>
        <w:t xml:space="preserve">243 to ~$221 in a single session (a "beat-and-drop" reaction), suggesting the market had priced in even more upside on AI/data-center momentum than management delivered. That sets up an interesting dynamic for tomorrow: expectations are elevated, and the reaction will likely hinge on the trajectory of order momentum and margins rather than the headline beat/miss.</w:t>
      </w:r>
    </w:p>
    <w:p>
      <w:pPr>
        <w:pStyle w:val="BodyText"/>
      </w:pPr>
      <w:r>
        <w:rPr>
          <w:b/>
          <w:bCs/>
        </w:rPr>
        <w:t xml:space="preserve">Street expectations (per pre-earnings digest):</w:t>
      </w:r>
      <w:r>
        <w:t xml:space="preserve"> </w:t>
      </w:r>
      <w:r>
        <w:t xml:space="preserve">EPS of</w:t>
      </w:r>
      <w:r>
        <w:t xml:space="preserve"> </w:t>
      </w:r>
      <m:oMath>
        <m:r>
          <m:t>2.84</m:t>
        </m:r>
        <m:r>
          <m:rPr>
            <m:sty m:val="p"/>
          </m:rPr>
          <m:t>*</m:t>
        </m:r>
        <m:r>
          <m:rPr>
            <m:sty m:val="p"/>
          </m:rPr>
          <m:t>*</m:t>
        </m:r>
        <m:r>
          <m:rPr>
            <m:sty m:val="p"/>
          </m:rPr>
          <m:t>,</m:t>
        </m:r>
        <m:r>
          <m:t>r</m:t>
        </m:r>
        <m:r>
          <m:t>e</m:t>
        </m:r>
        <m:r>
          <m:t>v</m:t>
        </m:r>
        <m:r>
          <m:t>e</m:t>
        </m:r>
        <m:r>
          <m:t>n</m:t>
        </m:r>
        <m:r>
          <m:t>u</m:t>
        </m:r>
        <m:r>
          <m:t>e</m:t>
        </m:r>
        <m:r>
          <m:t>g</m:t>
        </m:r>
        <m:r>
          <m:t>r</m:t>
        </m:r>
        <m:r>
          <m:t>o</m:t>
        </m:r>
        <m:r>
          <m:t>w</m:t>
        </m:r>
        <m:r>
          <m:t>t</m:t>
        </m:r>
        <m:r>
          <m:t>h</m:t>
        </m:r>
        <m:r>
          <m:t>o</m:t>
        </m:r>
        <m:r>
          <m:t>f</m:t>
        </m:r>
        <m:r>
          <m:rPr>
            <m:sty m:val="p"/>
          </m:rPr>
          <m:t>*</m:t>
        </m:r>
        <m:r>
          <m:rPr>
            <m:sty m:val="p"/>
          </m:rPr>
          <m:t>*</m:t>
        </m:r>
        <m:r>
          <m:rPr>
            <m:sty m:val="p"/>
          </m:rPr>
          <m:t>+</m:t>
        </m:r>
        <m:r>
          <m:t>10.5</m:t>
        </m:r>
      </m:oMath>
      <w:r>
        <w:rPr>
          <w:b/>
          <w:bCs/>
        </w:rPr>
        <w:t xml:space="preserve">5.0B</w:t>
      </w:r>
      <w:r>
        <w:t xml:space="preserve">, and adjusted operating margin of</w:t>
      </w:r>
      <w:r>
        <w:t xml:space="preserve"> </w:t>
      </w:r>
      <w:r>
        <w:rPr>
          <w:b/>
          <w:bCs/>
        </w:rPr>
        <w:t xml:space="preserve">~21.9%</w:t>
      </w:r>
      <w:r>
        <w:t xml:space="preserve">. Sentiment is described as neutral — healthy AI/grid-modernization demand offset by margin and auto-demand concerns.</w:t>
      </w:r>
    </w:p>
    <w:bookmarkEnd w:id="9"/>
    <w:bookmarkStart w:id="10" w:name="company-guidance-set-april-22"/>
    <w:p>
      <w:pPr>
        <w:pStyle w:val="Heading2"/>
      </w:pPr>
      <w:r>
        <w:t xml:space="preserve">Company Guidance (set April 22)</w:t>
      </w:r>
    </w:p>
    <w:p>
      <w:pPr>
        <w:pStyle w:val="FirstParagraph"/>
      </w:pPr>
      <w:r>
        <w:t xml:space="preserve">TE's own Q3 outlook, issued alongside Q2 results, calls for:</w:t>
      </w:r>
    </w:p>
    <w:p>
      <w:pPr>
        <w:pStyle w:val="Compact"/>
        <w:numPr>
          <w:ilvl w:val="0"/>
          <w:numId w:val="1001"/>
        </w:numPr>
      </w:pPr>
      <w:r>
        <w:rPr>
          <w:b/>
          <w:bCs/>
        </w:rPr>
        <w:t xml:space="preserve">Net sales ≈ $5.0 billion</w:t>
      </w:r>
      <w:r>
        <w:t xml:space="preserve">, up</w:t>
      </w:r>
      <w:r>
        <w:t xml:space="preserve"> </w:t>
      </w:r>
      <w:r>
        <w:rPr>
          <w:b/>
          <w:bCs/>
        </w:rPr>
        <w:t xml:space="preserve">10%</w:t>
      </w:r>
      <w:r>
        <w:t xml:space="preserve"> </w:t>
      </w:r>
      <w:r>
        <w:t xml:space="preserve">reported /</w:t>
      </w:r>
      <w:r>
        <w:t xml:space="preserve"> </w:t>
      </w:r>
      <w:r>
        <w:rPr>
          <w:b/>
          <w:bCs/>
        </w:rPr>
        <w:t xml:space="preserve">9%</w:t>
      </w:r>
      <w:r>
        <w:t xml:space="preserve"> </w:t>
      </w:r>
      <w:r>
        <w:t xml:space="preserve">organic y/y</w:t>
      </w:r>
    </w:p>
    <w:p>
      <w:pPr>
        <w:pStyle w:val="Compact"/>
        <w:numPr>
          <w:ilvl w:val="0"/>
          <w:numId w:val="1001"/>
        </w:numPr>
      </w:pPr>
      <w:r>
        <w:rPr>
          <w:b/>
          <w:bCs/>
        </w:rPr>
        <w:t xml:space="preserve">Adjusted EPS ≈ $2.83</w:t>
      </w:r>
      <w:r>
        <w:t xml:space="preserve">, up</w:t>
      </w:r>
      <w:r>
        <w:t xml:space="preserve"> </w:t>
      </w:r>
      <w:r>
        <w:rPr>
          <w:b/>
          <w:bCs/>
        </w:rPr>
        <w:t xml:space="preserve">17%</w:t>
      </w:r>
      <w:r>
        <w:t xml:space="preserve"> </w:t>
      </w:r>
      <w:r>
        <w:t xml:space="preserve">y/y</w:t>
      </w:r>
    </w:p>
    <w:p>
      <w:pPr>
        <w:pStyle w:val="Compact"/>
        <w:numPr>
          <w:ilvl w:val="0"/>
          <w:numId w:val="1001"/>
        </w:numPr>
      </w:pPr>
      <w:r>
        <w:rPr>
          <w:b/>
          <w:bCs/>
        </w:rPr>
        <w:t xml:space="preserve">GAAP EPS ≈ $2.44</w:t>
      </w:r>
      <w:r>
        <w:t xml:space="preserve">, up</w:t>
      </w:r>
      <w:r>
        <w:t xml:space="preserve"> </w:t>
      </w:r>
      <w:r>
        <w:rPr>
          <w:b/>
          <w:bCs/>
        </w:rPr>
        <w:t xml:space="preserve">14%</w:t>
      </w:r>
      <w:r>
        <w:t xml:space="preserve"> </w:t>
      </w:r>
      <w:r>
        <w:t xml:space="preserve">y/y</w:t>
      </w:r>
    </w:p>
    <w:p>
      <w:pPr>
        <w:pStyle w:val="FirstParagraph"/>
      </w:pPr>
      <w:r>
        <w:t xml:space="preserve">This is essentially in line with consensus, so the bar isn't unusually high — the key question is whether TE beats its own guide the way it has in recent quarters, and more importantly, what it says about</w:t>
      </w:r>
      <w:r>
        <w:t xml:space="preserve"> </w:t>
      </w:r>
      <w:r>
        <w:rPr>
          <w:b/>
          <w:bCs/>
        </w:rPr>
        <w:t xml:space="preserve">Q4 and order momentum</w:t>
      </w:r>
      <w:r>
        <w:t xml:space="preserve">.</w:t>
      </w:r>
    </w:p>
    <w:bookmarkEnd w:id="10"/>
    <w:bookmarkStart w:id="11" w:name="X1c65b542f0398e7093a467e9031d08c8e5f44b8"/>
    <w:p>
      <w:pPr>
        <w:pStyle w:val="Heading2"/>
      </w:pPr>
      <w:r>
        <w:t xml:space="preserve">Q2 Recap: A Strong Quarter, But Stock Sold Off Anyway</w:t>
      </w:r>
    </w:p>
    <w:p>
      <w:pPr>
        <w:pStyle w:val="FirstParagraph"/>
      </w:pPr>
      <w:r>
        <w:t xml:space="preserve">Q2 (fiscal) results were strong on nearly every dimension:</w:t>
      </w:r>
    </w:p>
    <w:p>
      <w:pPr>
        <w:pStyle w:val="Compact"/>
        <w:numPr>
          <w:ilvl w:val="0"/>
          <w:numId w:val="1002"/>
        </w:numPr>
      </w:pPr>
      <w:r>
        <w:t xml:space="preserve">Net sales of</w:t>
      </w:r>
      <w:r>
        <w:t xml:space="preserve"> </w:t>
      </w:r>
      <w:r>
        <w:rPr>
          <w:b/>
          <w:bCs/>
        </w:rPr>
        <w:t xml:space="preserve">$4.74B</w:t>
      </w:r>
      <w:r>
        <w:t xml:space="preserve">, +15% reported / +7% organic y/y, above guidance</w:t>
      </w:r>
    </w:p>
    <w:p>
      <w:pPr>
        <w:pStyle w:val="Compact"/>
        <w:numPr>
          <w:ilvl w:val="0"/>
          <w:numId w:val="1002"/>
        </w:numPr>
      </w:pPr>
      <w:r>
        <w:rPr>
          <w:b/>
          <w:bCs/>
        </w:rPr>
        <w:t xml:space="preserve">Record orders of $5.3B</w:t>
      </w:r>
      <w:r>
        <w:t xml:space="preserve">, +25% y/y, book-to-bill of 1.12, with double-digit growth in</w:t>
      </w:r>
      <w:r>
        <w:t xml:space="preserve"> </w:t>
      </w:r>
      <w:r>
        <w:rPr>
          <w:i/>
          <w:iCs/>
        </w:rPr>
        <w:t xml:space="preserve">every</w:t>
      </w:r>
      <w:r>
        <w:t xml:space="preserve"> </w:t>
      </w:r>
      <w:r>
        <w:t xml:space="preserve">business and region</w:t>
      </w:r>
    </w:p>
    <w:p>
      <w:pPr>
        <w:pStyle w:val="Compact"/>
        <w:numPr>
          <w:ilvl w:val="0"/>
          <w:numId w:val="1002"/>
        </w:numPr>
      </w:pPr>
      <w:r>
        <w:t xml:space="preserve">Adjusted EPS of</w:t>
      </w:r>
      <w:r>
        <w:t xml:space="preserve"> </w:t>
      </w:r>
      <w:r>
        <w:rPr>
          <w:b/>
          <w:bCs/>
        </w:rPr>
        <w:t xml:space="preserve">$2.73</w:t>
      </w:r>
      <w:r>
        <w:t xml:space="preserve"> </w:t>
      </w:r>
      <w:r>
        <w:t xml:space="preserve">(record), +24% y/y; GAAP EPS $2.90</w:t>
      </w:r>
    </w:p>
    <w:p>
      <w:pPr>
        <w:pStyle w:val="Compact"/>
        <w:numPr>
          <w:ilvl w:val="0"/>
          <w:numId w:val="1002"/>
        </w:numPr>
      </w:pPr>
      <w:r>
        <w:t xml:space="preserve">Adjusted operating margin of</w:t>
      </w:r>
      <w:r>
        <w:t xml:space="preserve"> </w:t>
      </w:r>
      <w:r>
        <w:rPr>
          <w:b/>
          <w:bCs/>
        </w:rPr>
        <w:t xml:space="preserve">21.7%</w:t>
      </w:r>
      <w:r>
        <w:t xml:space="preserve">, +130 bps y/y</w:t>
      </w:r>
    </w:p>
    <w:p>
      <w:pPr>
        <w:pStyle w:val="Compact"/>
        <w:numPr>
          <w:ilvl w:val="0"/>
          <w:numId w:val="1002"/>
        </w:numPr>
      </w:pPr>
      <w:r>
        <w:t xml:space="preserve">Free cash flow of $1.3B for H1 (+17% y/y), with ~100% of FCF returned to shareholders and a</w:t>
      </w:r>
      <w:r>
        <w:t xml:space="preserve"> </w:t>
      </w:r>
      <w:r>
        <w:rPr>
          <w:b/>
          <w:bCs/>
        </w:rPr>
        <w:t xml:space="preserve">10% dividend increase</w:t>
      </w:r>
    </w:p>
    <w:p>
      <w:pPr>
        <w:pStyle w:val="FirstParagraph"/>
      </w:pPr>
      <w:r>
        <w:t xml:space="preserve">Management raised its full-year AI/DDN (Digital Data Networks) revenue outlook by</w:t>
      </w:r>
      <w:r>
        <w:t xml:space="preserve"> </w:t>
      </w:r>
      <m:oMath>
        <m:r>
          <m:t>150</m:t>
        </m:r>
        <m:r>
          <m:t>m</m:t>
        </m:r>
        <m:r>
          <m:t>i</m:t>
        </m:r>
        <m:r>
          <m:t>l</m:t>
        </m:r>
        <m:r>
          <m:t>l</m:t>
        </m:r>
        <m:r>
          <m:t>i</m:t>
        </m:r>
        <m:r>
          <m:t>o</m:t>
        </m:r>
        <m:r>
          <m:t>n</m:t>
        </m:r>
        <m:r>
          <m:rPr>
            <m:sty m:val="p"/>
          </m:rPr>
          <m:t>*</m:t>
        </m:r>
        <m:r>
          <m:rPr>
            <m:sty m:val="p"/>
          </m:rPr>
          <m:t>*</m:t>
        </m:r>
        <m:r>
          <m:rPr>
            <m:sty m:val="p"/>
          </m:rPr>
          <m:t>,</m:t>
        </m:r>
        <m:r>
          <m:t>p</m:t>
        </m:r>
        <m:r>
          <m:t>o</m:t>
        </m:r>
        <m:r>
          <m:t>i</m:t>
        </m:r>
        <m:r>
          <m:t>n</m:t>
        </m:r>
        <m:r>
          <m:t>t</m:t>
        </m:r>
        <m:r>
          <m:t>i</m:t>
        </m:r>
        <m:r>
          <m:t>n</m:t>
        </m:r>
        <m:r>
          <m:t>g</m:t>
        </m:r>
        <m:r>
          <m:t>t</m:t>
        </m:r>
        <m:r>
          <m:t>o</m:t>
        </m:r>
        <m:r>
          <m:t>f</m:t>
        </m:r>
        <m:r>
          <m:t>i</m:t>
        </m:r>
        <m:r>
          <m:t>s</m:t>
        </m:r>
        <m:r>
          <m:t>c</m:t>
        </m:r>
        <m:r>
          <m:t>a</m:t>
        </m:r>
        <m:r>
          <m:t>l</m:t>
        </m:r>
        <m:r>
          <m:t>2026</m:t>
        </m:r>
        <m:r>
          <m:t>A</m:t>
        </m:r>
        <m:r>
          <m:t>I</m:t>
        </m:r>
        <m:r>
          <m:rPr>
            <m:sty m:val="p"/>
          </m:rPr>
          <m:t>−</m:t>
        </m:r>
        <m:r>
          <m:t>r</m:t>
        </m:r>
        <m:r>
          <m:t>e</m:t>
        </m:r>
        <m:r>
          <m:t>l</m:t>
        </m:r>
        <m:r>
          <m:t>a</m:t>
        </m:r>
        <m:r>
          <m:t>t</m:t>
        </m:r>
        <m:r>
          <m:t>e</m:t>
        </m:r>
        <m:r>
          <m:t>d</m:t>
        </m:r>
        <m:r>
          <m:t>D</m:t>
        </m:r>
        <m:r>
          <m:t>D</m:t>
        </m:r>
        <m:r>
          <m:t>N</m:t>
        </m:r>
        <m:r>
          <m:t>r</m:t>
        </m:r>
        <m:r>
          <m:t>e</m:t>
        </m:r>
        <m:r>
          <m:t>v</m:t>
        </m:r>
        <m:r>
          <m:t>e</m:t>
        </m:r>
        <m:r>
          <m:t>n</m:t>
        </m:r>
        <m:r>
          <m:t>u</m:t>
        </m:r>
        <m:r>
          <m:t>e</m:t>
        </m:r>
        <m:r>
          <m:t>a</m:t>
        </m:r>
        <m:r>
          <m:t>p</m:t>
        </m:r>
        <m:r>
          <m:t>p</m:t>
        </m:r>
        <m:r>
          <m:t>r</m:t>
        </m:r>
        <m:r>
          <m:t>o</m:t>
        </m:r>
        <m:r>
          <m:t>a</m:t>
        </m:r>
        <m:r>
          <m:t>c</m:t>
        </m:r>
        <m:r>
          <m:t>h</m:t>
        </m:r>
        <m:r>
          <m:t>i</m:t>
        </m:r>
        <m:r>
          <m:t>n</m:t>
        </m:r>
        <m:r>
          <m:t>g</m:t>
        </m:r>
        <m:r>
          <m:rPr>
            <m:sty m:val="p"/>
          </m:rPr>
          <m:t>*</m:t>
        </m:r>
        <m:r>
          <m:rPr>
            <m:sty m:val="p"/>
          </m:rPr>
          <m:t>*</m:t>
        </m:r>
      </m:oMath>
      <w:r>
        <w:rPr>
          <w:b/>
          <w:bCs/>
        </w:rPr>
        <w:t xml:space="preserve">2.4 billion</w:t>
      </w:r>
      <w:r>
        <w:t xml:space="preserve"> </w:t>
      </w:r>
      <w:r>
        <w:t xml:space="preserve">(vs. the ~$3B multi-year target flagged at the November Investor Day, which CEO Terrence Curtin said is now "shifting to the left" i.e., pulling forward). Despite this, DDN segment revenue had been roughly flat sequentially for two quarters even as orders surged — management attributed this to program lumpiness and back-half-weighted ramps, which is exactly the dynamic investors will be watching to see materialize in Q3/Q4.</w:t>
      </w:r>
    </w:p>
    <w:bookmarkEnd w:id="11"/>
    <w:bookmarkStart w:id="12" w:name="key-themes-to-watch-in-tomorrows-print"/>
    <w:p>
      <w:pPr>
        <w:pStyle w:val="Heading2"/>
      </w:pPr>
      <w:r>
        <w:t xml:space="preserve">Key Themes to Watch in Tomorrow's Print</w:t>
      </w:r>
    </w:p>
    <w:p>
      <w:pPr>
        <w:pStyle w:val="FirstParagraph"/>
      </w:pPr>
      <w:r>
        <w:rPr>
          <w:b/>
          <w:bCs/>
        </w:rPr>
        <w:t xml:space="preserve">1. AI/Data Center Momentum — Does the Ramp Show Up in Revenue?</w:t>
      </w:r>
      <w:r>
        <w:t xml:space="preserve"> </w:t>
      </w:r>
      <w:r>
        <w:t xml:space="preserve">DDN orders grew ~60% y/y in Q2, and management guided to a step-up in AI revenue concentrated in H2 FY26. The "show me" moment is whether Q3 (and the Q4 outlook) confirms that the backlog build translates into actual revenue acceleration rather than further push-outs. Watch for: DDN/Industrial segment sequential growth, updated full-year AI revenue figures (last guided ~$2.4B), and any commentary on the copper-vs-optical roadmap following TE's March acquisition of optical connectivity technology (RAM Photonics).</w:t>
      </w:r>
    </w:p>
    <w:p>
      <w:pPr>
        <w:pStyle w:val="BodyText"/>
      </w:pPr>
      <w:r>
        <w:rPr>
          <w:b/>
          <w:bCs/>
        </w:rPr>
        <w:t xml:space="preserve">2. Order Trends and Book-to-Bill</w:t>
      </w:r>
      <w:r>
        <w:t xml:space="preserve"> </w:t>
      </w:r>
      <w:r>
        <w:t xml:space="preserve">Orders have been the standout metric — $5B in Q1, $5.3B (record) in Q2, roughly $10B combined. Management said order momentum continued into the month after quarter-end with no demand impact from geopolitical disruptions. Any deceleration or, conversely, another record order print will be a key swing factor for the stock reaction.</w:t>
      </w:r>
    </w:p>
    <w:p>
      <w:pPr>
        <w:pStyle w:val="BodyText"/>
      </w:pPr>
      <w:r>
        <w:rPr>
          <w:b/>
          <w:bCs/>
        </w:rPr>
        <w:t xml:space="preserve">3. Margins Under Cost Pressure</w:t>
      </w:r>
      <w:r>
        <w:t xml:space="preserve"> </w:t>
      </w:r>
      <w:r>
        <w:t xml:space="preserve">On the Q2 call, CFO Heath Mitts flagged rising input-cost inflation — oil-based resins, freight/logistics, and tariff-related costs — as incremental headwinds versus 90 days prior, though the company reiterated its commitment to</w:t>
      </w:r>
      <w:r>
        <w:t xml:space="preserve"> </w:t>
      </w:r>
      <w:r>
        <w:rPr>
          <w:b/>
          <w:bCs/>
        </w:rPr>
        <w:t xml:space="preserve">≥30% incremental operating margin flow-through</w:t>
      </w:r>
      <w:r>
        <w:t xml:space="preserve">. Adjusted operating margin guidance embedded in the Q3 outlook implies continued expansion, but investors will want confirmation that pricing actions are keeping pace with cost inflation, especially given analyst concern (per the pre-earnings digest) about margins.</w:t>
      </w:r>
    </w:p>
    <w:p>
      <w:pPr>
        <w:pStyle w:val="BodyText"/>
      </w:pPr>
      <w:r>
        <w:rPr>
          <w:b/>
          <w:bCs/>
        </w:rPr>
        <w:t xml:space="preserve">4. Automotive: Production Still Soft, but Content Growth Offsetting</w:t>
      </w:r>
      <w:r>
        <w:t xml:space="preserve"> </w:t>
      </w:r>
      <w:r>
        <w:t xml:space="preserve">Transportation Solutions organic sales were</w:t>
      </w:r>
      <w:r>
        <w:t xml:space="preserve"> </w:t>
      </w:r>
      <w:r>
        <w:rPr>
          <w:b/>
          <w:bCs/>
        </w:rPr>
        <w:t xml:space="preserve">down slightly</w:t>
      </w:r>
      <w:r>
        <w:t xml:space="preserve"> </w:t>
      </w:r>
      <w:r>
        <w:t xml:space="preserve">in Q2 (auto organic -4%) even as TE outperformed underlying auto production (88-89M unit assumption for the year, roughly flat/slightly down). Management guided to 4-6% content-growth outperformance for FY26, at the low end year-to-date, with an expectation that auto sales grow in H2 even as production stays flattish. Commercial transportation has been a standout, up double digits organically (+17% in Q2) on share gains and stabilizing global demand — watch for continuation of this trend, which has been a positive surprise.</w:t>
      </w:r>
    </w:p>
    <w:p>
      <w:pPr>
        <w:pStyle w:val="BodyText"/>
      </w:pPr>
      <w:r>
        <w:rPr>
          <w:b/>
          <w:bCs/>
        </w:rPr>
        <w:t xml:space="preserve">5. Energy Segment Durability</w:t>
      </w:r>
      <w:r>
        <w:t xml:space="preserve"> </w:t>
      </w:r>
      <w:r>
        <w:t xml:space="preserve">Energy sales grew 60% reported / 11% organic in Q2, driven by grid hardening (~60-65% of the business), data-center/industrial power hookups (~20%, growing double digits), and clean energy/renewables (smaller, decelerating amid policy headwinds). Management expects the segment to sustain double-digit growth, with clean energy as the main source of lumpiness — a read-through for anyone tracking grid/AI power infrastructure capex.</w:t>
      </w:r>
    </w:p>
    <w:p>
      <w:pPr>
        <w:pStyle w:val="BodyText"/>
      </w:pPr>
      <w:r>
        <w:rPr>
          <w:b/>
          <w:bCs/>
        </w:rPr>
        <w:t xml:space="preserve">6. Capital Allocation / M&amp;A</w:t>
      </w:r>
      <w:r>
        <w:t xml:space="preserve"> </w:t>
      </w:r>
      <w:r>
        <w:t xml:space="preserve">TE has been active with bolt-on M&amp;A (Richards Manufacturing in energy, RAM Photonics in optical connectivity) and management characterized the M&amp;A pipeline as "pretty active," while continuing near-100% FCF return to shareholders via buybacks and a dividend recently raised 10%. Any new deal announcements or updated capital allocation framework would be notable.</w:t>
      </w:r>
    </w:p>
    <w:bookmarkEnd w:id="12"/>
    <w:bookmarkStart w:id="13" w:name="bottom-line"/>
    <w:p>
      <w:pPr>
        <w:pStyle w:val="Heading2"/>
      </w:pPr>
      <w:r>
        <w:t xml:space="preserve">Bottom Line</w:t>
      </w:r>
    </w:p>
    <w:p>
      <w:pPr>
        <w:pStyle w:val="FirstParagraph"/>
      </w:pPr>
      <w:r>
        <w:t xml:space="preserve">TEL heads into this print with</w:t>
      </w:r>
      <w:r>
        <w:t xml:space="preserve"> </w:t>
      </w:r>
      <w:r>
        <w:rPr>
          <w:b/>
          <w:bCs/>
        </w:rPr>
        <w:t xml:space="preserve">guidance and consensus well-aligned</w:t>
      </w:r>
      <w:r>
        <w:t xml:space="preserve"> </w:t>
      </w:r>
      <w:r>
        <w:t xml:space="preserve">(~</w:t>
      </w:r>
      <m:oMath>
        <m:r>
          <m:t>5.0</m:t>
        </m:r>
        <m:r>
          <m:t>B</m:t>
        </m:r>
        <m:r>
          <m:t>s</m:t>
        </m:r>
        <m:r>
          <m:t>a</m:t>
        </m:r>
        <m:r>
          <m:t>l</m:t>
        </m:r>
        <m:r>
          <m:t>e</m:t>
        </m:r>
        <m:r>
          <m:t>s</m:t>
        </m:r>
        <m:r>
          <m:rPr>
            <m:sty m:val="p"/>
          </m:rPr>
          <m:t>,</m:t>
        </m:r>
        <m:r>
          <m:t> </m:t>
        </m:r>
      </m:oMath>
      <w:r>
        <w:t xml:space="preserve">2.83-2.84 adjusted EPS), a</w:t>
      </w:r>
      <w:r>
        <w:t xml:space="preserve"> </w:t>
      </w:r>
      <w:r>
        <w:rPr>
          <w:b/>
          <w:bCs/>
        </w:rPr>
        <w:t xml:space="preserve">record order backlog</w:t>
      </w:r>
      <w:r>
        <w:t xml:space="preserve">, and structural tailwinds from AI/data-center power and connectivity, grid modernization, and commercial transportation share gains. The main risks are</w:t>
      </w:r>
      <w:r>
        <w:t xml:space="preserve"> </w:t>
      </w:r>
      <w:r>
        <w:rPr>
          <w:b/>
          <w:bCs/>
        </w:rPr>
        <w:t xml:space="preserve">execution timing on the AI ramp</w:t>
      </w:r>
      <w:r>
        <w:t xml:space="preserve"> </w:t>
      </w:r>
      <w:r>
        <w:t xml:space="preserve">(orders have consistently outpaced revenue recognition),</w:t>
      </w:r>
      <w:r>
        <w:t xml:space="preserve"> </w:t>
      </w:r>
      <w:r>
        <w:rPr>
          <w:b/>
          <w:bCs/>
        </w:rPr>
        <w:t xml:space="preserve">margin resilience against tariff/input-cost inflation</w:t>
      </w:r>
      <w:r>
        <w:t xml:space="preserve">, and</w:t>
      </w:r>
      <w:r>
        <w:t xml:space="preserve"> </w:t>
      </w:r>
      <w:r>
        <w:rPr>
          <w:b/>
          <w:bCs/>
        </w:rPr>
        <w:t xml:space="preserve">continued softness in core auto production</w:t>
      </w:r>
      <w:r>
        <w:t xml:space="preserve">. Given the stock's sharp post-Q2 pullback despite a beat-and-raise-type quarter, the bar for a positive reaction may be less about the Q3 numbers themselves (which are already well-telegraphed) and more about</w:t>
      </w:r>
      <w:r>
        <w:t xml:space="preserve"> </w:t>
      </w:r>
      <w:r>
        <w:rPr>
          <w:b/>
          <w:bCs/>
        </w:rPr>
        <w:t xml:space="preserve">forward commentary on Q4/FY27 order-to-revenue conversion</w:t>
      </w:r>
      <w:r>
        <w:t xml:space="preserve"> </w:t>
      </w:r>
      <w:r>
        <w:t xml:space="preserve">in DDN and reassurance on margin trajectory.</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2026-07-22T00:15:49Z</dcterms:created>
  <dcterms:modified xsi:type="dcterms:W3CDTF">2026-07-22T00:15:49Z</dcterms:modified>
</cp:coreProperties>
</file>

<file path=docProps/custom.xml><?xml version="1.0" encoding="utf-8"?>
<Properties xmlns="http://schemas.openxmlformats.org/officeDocument/2006/custom-properties" xmlns:vt="http://schemas.openxmlformats.org/officeDocument/2006/docPropsVTypes"/>
</file>