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~$5.06B vs. cons $5.00B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~22.0% vs. cons 21.9%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~$5.15B vs. cons $5.09B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~$3.02 vs. cons $2.96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AI-related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~$2.45B vs. cons $2.40B (fiscal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 beat plus fiscal Q4 adjusted EPS guidance of ~$3.02 vs. consensus</w:t>
            </w:r>
            <w:r>
              <w:t xml:space="preserve"> </w:t>
            </w:r>
            <m:oMath>
              <m:r>
                <m:t>2.96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A</m:t>
              </m:r>
              <m:r>
                <m:t>I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l</m:t>
              </m:r>
              <m:r>
                <m:t>o</m:t>
              </m:r>
              <m:r>
                <m:t>g</m:t>
              </m:r>
              <m:r>
                <m:t>c</m:t>
              </m:r>
              <m:r>
                <m:t>o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2026</m:t>
              </m:r>
              <m:r>
                <m:t>A</m:t>
              </m:r>
              <m:r>
                <m:t>I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2.45B vs. $2.40B support positive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2026-07-22T00:16:43Z</dcterms:created>
  <dcterms:modified xsi:type="dcterms:W3CDTF">2026-07-22T00:16:43Z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