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5e23102d5f02b22fae4352a75fb7545d047873d"/>
    <w:p>
      <w:pPr>
        <w:pStyle w:val="Heading1"/>
      </w:pPr>
      <w:r>
        <w:t xml:space="preserve">TE Connectivity (TEL) Fiscal Q3 2026 Earnings Preview</w:t>
      </w:r>
    </w:p>
    <w:p>
      <w:pPr>
        <w:pStyle w:val="BlockText"/>
      </w:pPr>
      <w:r>
        <w:rPr>
          <w:b/>
          <w:bCs/>
        </w:rPr>
        <w:t xml:space="preserve">Date note:</w:t>
      </w:r>
      <w:r>
        <w:t xml:space="preserve"> </w:t>
      </w:r>
      <w:r>
        <w:t xml:space="preserve">TE Connectivity scheduled its fiscal Q3 release for</w:t>
      </w:r>
      <w:r>
        <w:t xml:space="preserve"> </w:t>
      </w:r>
      <w:r>
        <w:rPr>
          <w:b/>
          <w:bCs/>
        </w:rPr>
        <w:t xml:space="preserve">Wednesday, July 22, 2026, before the U.S. market open</w:t>
      </w:r>
      <w:r>
        <w:t xml:space="preserve">. Since the current date is July 22, the report is scheduled for</w:t>
      </w:r>
      <w:r>
        <w:t xml:space="preserve"> </w:t>
      </w:r>
      <w:r>
        <w:rPr>
          <w:b/>
          <w:bCs/>
        </w:rPr>
        <w:t xml:space="preserve">today</w:t>
      </w:r>
      <w:r>
        <w:t xml:space="preserve">, not tomorrow. At the time of this research, the Q3 release was not yet available in the financial-document database.</w:t>
      </w:r>
    </w:p>
    <w:bookmarkStart w:id="9" w:name="executive-view"/>
    <w:p>
      <w:pPr>
        <w:pStyle w:val="Heading2"/>
      </w:pPr>
      <w:r>
        <w:t xml:space="preserve">Executive view</w:t>
      </w:r>
    </w:p>
    <w:p>
      <w:pPr>
        <w:pStyle w:val="FirstParagraph"/>
      </w:pPr>
      <w:r>
        <w:t xml:space="preserve">TEL enters the quarter with an unusually low numerical hurdle but a high qualitative bar.</w:t>
      </w:r>
    </w:p>
    <w:p>
      <w:pPr>
        <w:pStyle w:val="BodyText"/>
      </w:pPr>
      <w:r>
        <w:t xml:space="preserve">Consensus is almost identical to management’s guidance: approximately</w:t>
      </w:r>
      <w:r>
        <w:t xml:space="preserve"> </w:t>
      </w:r>
      <w:r>
        <w:rPr>
          <w:b/>
          <w:bCs/>
        </w:rPr>
        <w:t xml:space="preserve">$5.0 billion of revenue, $2.84 of adjusted EPS, and a 21.9% adjusted operating margin</w:t>
      </w:r>
      <w:r>
        <w:t xml:space="preserve">. Consequently, a small earnings beat may not mean much. The share-price reaction is more likely to depend on:</w:t>
      </w:r>
    </w:p>
    <w:p>
      <w:pPr>
        <w:pStyle w:val="Compact"/>
        <w:numPr>
          <w:ilvl w:val="0"/>
          <w:numId w:val="1001"/>
        </w:numPr>
      </w:pPr>
      <w:r>
        <w:t xml:space="preserve">Whether AI-related revenue is accelerating as promised.</w:t>
      </w:r>
    </w:p>
    <w:p>
      <w:pPr>
        <w:pStyle w:val="Compact"/>
        <w:numPr>
          <w:ilvl w:val="0"/>
          <w:numId w:val="1001"/>
        </w:numPr>
      </w:pPr>
      <w:r>
        <w:t xml:space="preserve">Whether record orders are converting into sales without margin leakage.</w:t>
      </w:r>
    </w:p>
    <w:p>
      <w:pPr>
        <w:pStyle w:val="Compact"/>
        <w:numPr>
          <w:ilvl w:val="0"/>
          <w:numId w:val="1001"/>
        </w:numPr>
      </w:pPr>
      <w:r>
        <w:t xml:space="preserve">The durability of 22%-type margins amid resin, freight, and other inflation.</w:t>
      </w:r>
    </w:p>
    <w:p>
      <w:pPr>
        <w:pStyle w:val="Compact"/>
        <w:numPr>
          <w:ilvl w:val="0"/>
          <w:numId w:val="1001"/>
        </w:numPr>
      </w:pPr>
      <w:r>
        <w:t xml:space="preserve">Whether Transportation returns to sequential growth despite soft auto and North American truck production.</w:t>
      </w:r>
    </w:p>
    <w:p>
      <w:pPr>
        <w:pStyle w:val="Compact"/>
        <w:numPr>
          <w:ilvl w:val="0"/>
          <w:numId w:val="1001"/>
        </w:numPr>
      </w:pPr>
      <w:r>
        <w:t xml:space="preserve">Most importantly, the fiscal Q4 outlook.</w:t>
      </w:r>
    </w:p>
    <w:p>
      <w:pPr>
        <w:pStyle w:val="FirstParagraph"/>
      </w:pPr>
      <w:r>
        <w:t xml:space="preserve">The fundamental setup remains attractive: TEL has broad exposure to AI infrastructure, grid modernization, aerospace and defense, industrial automation, and rising connectivity content in vehicles. But investors will want evidence that the AI-led backlog is translating into profitable revenue—not simply more orders, capital spending, and working capital.</w:t>
      </w:r>
    </w:p>
    <w:p>
      <w:r>
        <w:pict>
          <v:rect style="width:0;height:1.5pt" o:hralign="center" o:hrstd="t" o:hr="t"/>
        </w:pict>
      </w:r>
    </w:p>
    <w:bookmarkEnd w:id="9"/>
    <w:bookmarkStart w:id="10" w:name="headline-expectations"/>
    <w:p>
      <w:pPr>
        <w:pStyle w:val="Heading2"/>
      </w:pPr>
      <w:r>
        <w:t xml:space="preserve">Headline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Fiscal Q3 2026 expectation</w:t>
            </w:r>
          </w:p>
        </w:tc>
        <w:tc>
          <w:tcPr/>
          <w:p>
            <w:pPr>
              <w:pStyle w:val="Compact"/>
              <w:jc w:val="right"/>
            </w:pPr>
            <w:r>
              <w:t xml:space="preserve">Company guidance</w:t>
            </w:r>
          </w:p>
        </w:tc>
        <w:tc>
          <w:tcPr/>
          <w:p>
            <w:pPr>
              <w:pStyle w:val="Compact"/>
              <w:jc w:val="right"/>
            </w:pPr>
            <w:r>
              <w:t xml:space="preserve">Prior-year Q3</w:t>
            </w:r>
          </w:p>
        </w:tc>
      </w:tr>
      <w:tr>
        <w:tc>
          <w:tcPr/>
          <w:p>
            <w:pPr>
              <w:pStyle w:val="Compact"/>
            </w:pPr>
            <w:r>
              <w:t xml:space="preserve">Revenue</w:t>
            </w:r>
          </w:p>
        </w:tc>
        <w:tc>
          <w:tcPr/>
          <w:p>
            <w:pPr>
              <w:pStyle w:val="Compact"/>
              <w:jc w:val="right"/>
            </w:pPr>
            <w:r>
              <w:rPr>
                <w:b/>
                <w:bCs/>
              </w:rPr>
              <w:t xml:space="preserve">~$5.0B</w:t>
            </w:r>
          </w:p>
        </w:tc>
        <w:tc>
          <w:tcPr/>
          <w:p>
            <w:pPr>
              <w:pStyle w:val="Compact"/>
              <w:jc w:val="right"/>
            </w:pPr>
            <w:r>
              <w:rPr>
                <w:b/>
                <w:bCs/>
              </w:rPr>
              <w:t xml:space="preserve">~$5.0B</w:t>
            </w:r>
          </w:p>
        </w:tc>
        <w:tc>
          <w:tcPr/>
          <w:p>
            <w:pPr>
              <w:pStyle w:val="Compact"/>
              <w:jc w:val="right"/>
            </w:pPr>
            <w:r>
              <w:t xml:space="preserve">$4.53B</w:t>
            </w:r>
          </w:p>
        </w:tc>
      </w:tr>
      <w:tr>
        <w:tc>
          <w:tcPr/>
          <w:p>
            <w:pPr>
              <w:pStyle w:val="Compact"/>
            </w:pPr>
            <w:r>
              <w:t xml:space="preserve">Reported growth</w:t>
            </w:r>
          </w:p>
        </w:tc>
        <w:tc>
          <w:tcPr/>
          <w:p>
            <w:pPr>
              <w:pStyle w:val="Compact"/>
              <w:jc w:val="right"/>
            </w:pPr>
            <w:r>
              <w:rPr>
                <w:b/>
                <w:bCs/>
              </w:rPr>
              <w:t xml:space="preserve">~10.5%</w:t>
            </w:r>
          </w:p>
        </w:tc>
        <w:tc>
          <w:tcPr/>
          <w:p>
            <w:pPr>
              <w:pStyle w:val="Compact"/>
              <w:jc w:val="right"/>
            </w:pPr>
            <w:r>
              <w:t xml:space="preserve">~10%</w:t>
            </w:r>
          </w:p>
        </w:tc>
        <w:tc>
          <w:tcPr/>
          <w:p>
            <w:pPr>
              <w:pStyle w:val="Compact"/>
              <w:jc w:val="right"/>
            </w:pPr>
            <w:r>
              <w:t xml:space="preserve">—</w:t>
            </w:r>
          </w:p>
        </w:tc>
      </w:tr>
      <w:tr>
        <w:tc>
          <w:tcPr/>
          <w:p>
            <w:pPr>
              <w:pStyle w:val="Compact"/>
            </w:pPr>
            <w:r>
              <w:t xml:space="preserve">Organic growth</w:t>
            </w:r>
          </w:p>
        </w:tc>
        <w:tc>
          <w:tcPr/>
          <w:p>
            <w:pPr>
              <w:pStyle w:val="Compact"/>
              <w:jc w:val="right"/>
            </w:pPr>
            <w:r>
              <w:t xml:space="preserve">—</w:t>
            </w:r>
          </w:p>
        </w:tc>
        <w:tc>
          <w:tcPr/>
          <w:p>
            <w:pPr>
              <w:pStyle w:val="Compact"/>
              <w:jc w:val="right"/>
            </w:pPr>
            <w:r>
              <w:rPr>
                <w:b/>
                <w:bCs/>
              </w:rPr>
              <w:t xml:space="preserve">~9%</w:t>
            </w:r>
          </w:p>
        </w:tc>
        <w:tc>
          <w:tcPr/>
          <w:p>
            <w:pPr>
              <w:pStyle w:val="Compact"/>
              <w:jc w:val="right"/>
            </w:pPr>
            <w:r>
              <w:t xml:space="preserve">—</w:t>
            </w:r>
          </w:p>
        </w:tc>
      </w:tr>
      <w:tr>
        <w:tc>
          <w:tcPr/>
          <w:p>
            <w:pPr>
              <w:pStyle w:val="Compact"/>
            </w:pPr>
            <w:r>
              <w:t xml:space="preserve">Adjusted EPS</w:t>
            </w:r>
          </w:p>
        </w:tc>
        <w:tc>
          <w:tcPr/>
          <w:p>
            <w:pPr>
              <w:pStyle w:val="Compact"/>
              <w:jc w:val="right"/>
            </w:pPr>
            <w:r>
              <w:rPr>
                <w:b/>
                <w:bCs/>
              </w:rPr>
              <w:t xml:space="preserve">$2.84</w:t>
            </w:r>
          </w:p>
        </w:tc>
        <w:tc>
          <w:tcPr/>
          <w:p>
            <w:pPr>
              <w:pStyle w:val="Compact"/>
              <w:jc w:val="right"/>
            </w:pPr>
            <w:r>
              <w:rPr>
                <w:b/>
                <w:bCs/>
              </w:rPr>
              <w:t xml:space="preserve">~$2.83</w:t>
            </w:r>
          </w:p>
        </w:tc>
        <w:tc>
          <w:tcPr/>
          <w:p>
            <w:pPr>
              <w:pStyle w:val="Compact"/>
              <w:jc w:val="right"/>
            </w:pPr>
            <w:r>
              <w:t xml:space="preserve">$2.41*</w:t>
            </w:r>
          </w:p>
        </w:tc>
      </w:tr>
      <w:tr>
        <w:tc>
          <w:tcPr/>
          <w:p>
            <w:pPr>
              <w:pStyle w:val="Compact"/>
            </w:pPr>
            <w:r>
              <w:t xml:space="preserve">Adjusted operating margin</w:t>
            </w:r>
          </w:p>
        </w:tc>
        <w:tc>
          <w:tcPr/>
          <w:p>
            <w:pPr>
              <w:pStyle w:val="Compact"/>
              <w:jc w:val="right"/>
            </w:pPr>
            <w:r>
              <w:rPr>
                <w:b/>
                <w:bCs/>
              </w:rPr>
              <w:t xml:space="preserve">~21.9%</w:t>
            </w:r>
          </w:p>
        </w:tc>
        <w:tc>
          <w:tcPr/>
          <w:p>
            <w:pPr>
              <w:pStyle w:val="Compact"/>
              <w:jc w:val="right"/>
            </w:pPr>
            <w:r>
              <w:t xml:space="preserve">Not explicitly given</w:t>
            </w:r>
          </w:p>
        </w:tc>
        <w:tc>
          <w:tcPr/>
          <w:p>
            <w:pPr>
              <w:pStyle w:val="Compact"/>
              <w:jc w:val="right"/>
            </w:pPr>
            <w:r>
              <w:t xml:space="preserve">~21.0%*</w:t>
            </w:r>
          </w:p>
        </w:tc>
      </w:tr>
      <w:tr>
        <w:tc>
          <w:tcPr/>
          <w:p>
            <w:pPr>
              <w:pStyle w:val="Compact"/>
            </w:pPr>
            <w:r>
              <w:t xml:space="preserve">GAAP EPS</w:t>
            </w:r>
          </w:p>
        </w:tc>
        <w:tc>
          <w:tcPr/>
          <w:p>
            <w:pPr>
              <w:pStyle w:val="Compact"/>
              <w:jc w:val="right"/>
            </w:pPr>
            <w:r>
              <w:t xml:space="preserve">—</w:t>
            </w:r>
          </w:p>
        </w:tc>
        <w:tc>
          <w:tcPr/>
          <w:p>
            <w:pPr>
              <w:pStyle w:val="Compact"/>
              <w:jc w:val="right"/>
            </w:pPr>
            <w:r>
              <w:rPr>
                <w:b/>
                <w:bCs/>
              </w:rPr>
              <w:t xml:space="preserve">~$2.44</w:t>
            </w:r>
          </w:p>
        </w:tc>
        <w:tc>
          <w:tcPr/>
          <w:p>
            <w:pPr>
              <w:pStyle w:val="Compact"/>
              <w:jc w:val="right"/>
            </w:pPr>
            <w:r>
              <w:t xml:space="preserve">$2.14</w:t>
            </w:r>
          </w:p>
        </w:tc>
      </w:tr>
    </w:tbl>
    <w:p>
      <w:pPr>
        <w:pStyle w:val="BodyText"/>
      </w:pPr>
      <w:r>
        <w:t xml:space="preserve">*Prior-year adjusted figures are shown on TEL’s current fiscal 2026 basis, which excludes intangible-asset amortization. Older fiscal 2025 releases used a different adjusted definition and therefore show lower adjusted EPS and margin.</w:t>
      </w:r>
    </w:p>
    <w:p>
      <w:pPr>
        <w:pStyle w:val="BodyText"/>
      </w:pPr>
      <w:r>
        <w:t xml:space="preserve">The Street is only a penny above TEL’s EPS guidance. This makes</w:t>
      </w:r>
      <w:r>
        <w:t xml:space="preserve"> </w:t>
      </w:r>
      <w:r>
        <w:rPr>
          <w:b/>
          <w:bCs/>
        </w:rPr>
        <w:t xml:space="preserve">Q4 guidance and the order/backlog commentary more important than the difference between reported Q3 EPS and consensus</w:t>
      </w:r>
      <w:r>
        <w:t xml:space="preserve">.</w:t>
      </w:r>
    </w:p>
    <w:p>
      <w:r>
        <w:pict>
          <v:rect style="width:0;height:1.5pt" o:hralign="center" o:hrstd="t" o:hr="t"/>
        </w:pict>
      </w:r>
    </w:p>
    <w:bookmarkEnd w:id="10"/>
    <w:bookmarkStart w:id="13" w:name="X37fbaa3858cc4d36a1e8d078534a589cb31bb18"/>
    <w:p>
      <w:pPr>
        <w:pStyle w:val="Heading2"/>
      </w:pPr>
      <w:r>
        <w:t xml:space="preserve">The central issue: Can the AI ramp finally show up sequentially?</w:t>
      </w:r>
    </w:p>
    <w:p>
      <w:pPr>
        <w:pStyle w:val="FirstParagraph"/>
      </w:pPr>
      <w:r>
        <w:t xml:space="preserve">Digital Data Networks, or DDN, is the most important business to the earnings debate.</w:t>
      </w:r>
    </w:p>
    <w:p>
      <w:pPr>
        <w:pStyle w:val="BodyText"/>
      </w:pPr>
      <w:r>
        <w:t xml:space="preserve">In fiscal Q2:</w:t>
      </w:r>
    </w:p>
    <w:p>
      <w:pPr>
        <w:pStyle w:val="Compact"/>
        <w:numPr>
          <w:ilvl w:val="0"/>
          <w:numId w:val="1002"/>
        </w:numPr>
      </w:pPr>
      <w:r>
        <w:t xml:space="preserve">DDN revenue grew</w:t>
      </w:r>
      <w:r>
        <w:t xml:space="preserve"> </w:t>
      </w:r>
      <w:r>
        <w:rPr>
          <w:b/>
          <w:bCs/>
        </w:rPr>
        <w:t xml:space="preserve">48% reported and 46% organically</w:t>
      </w:r>
      <w:r>
        <w:t xml:space="preserve"> </w:t>
      </w:r>
      <w:r>
        <w:t xml:space="preserve">year over year.</w:t>
      </w:r>
    </w:p>
    <w:p>
      <w:pPr>
        <w:pStyle w:val="Compact"/>
        <w:numPr>
          <w:ilvl w:val="0"/>
          <w:numId w:val="1002"/>
        </w:numPr>
      </w:pPr>
      <w:r>
        <w:t xml:space="preserve">DDN orders rose more than</w:t>
      </w:r>
      <w:r>
        <w:t xml:space="preserve"> </w:t>
      </w:r>
      <w:r>
        <w:rPr>
          <w:b/>
          <w:bCs/>
        </w:rPr>
        <w:t xml:space="preserve">60%</w:t>
      </w:r>
      <w:r>
        <w:t xml:space="preserve">.</w:t>
      </w:r>
    </w:p>
    <w:p>
      <w:pPr>
        <w:pStyle w:val="Compact"/>
        <w:numPr>
          <w:ilvl w:val="0"/>
          <w:numId w:val="1002"/>
        </w:numPr>
      </w:pPr>
      <w:r>
        <w:t xml:space="preserve">First-half DDN orders reached approximately</w:t>
      </w:r>
      <w:r>
        <w:t xml:space="preserve"> </w:t>
      </w:r>
      <w:r>
        <w:rPr>
          <w:b/>
          <w:bCs/>
        </w:rPr>
        <w:t xml:space="preserve">$2 billion</w:t>
      </w:r>
      <w:r>
        <w:t xml:space="preserve">.</w:t>
      </w:r>
    </w:p>
    <w:p>
      <w:pPr>
        <w:pStyle w:val="Compact"/>
        <w:numPr>
          <w:ilvl w:val="0"/>
          <w:numId w:val="1002"/>
        </w:numPr>
      </w:pPr>
      <w:r>
        <w:t xml:space="preserve">Management said the backlog extended into fiscal 2027.</w:t>
      </w:r>
    </w:p>
    <w:p>
      <w:pPr>
        <w:pStyle w:val="Compact"/>
        <w:numPr>
          <w:ilvl w:val="0"/>
          <w:numId w:val="1002"/>
        </w:numPr>
      </w:pPr>
      <w:r>
        <w:t xml:space="preserve">TEL raised its fiscal 2026 AI-revenue expectation by another</w:t>
      </w:r>
      <w:r>
        <w:t xml:space="preserve"> </w:t>
      </w:r>
      <w:r>
        <w:rPr>
          <w:b/>
          <w:bCs/>
        </w:rPr>
        <w:t xml:space="preserve">$150 million</w:t>
      </w:r>
      <w:r>
        <w:t xml:space="preserve">, with the entire increase expected in the second half.</w:t>
      </w:r>
    </w:p>
    <w:p>
      <w:pPr>
        <w:pStyle w:val="FirstParagraph"/>
      </w:pPr>
      <w:r>
        <w:t xml:space="preserve">At the May 28 Bernstein conference, CEO Terrence Curtin sharpened that outlook:</w:t>
      </w:r>
    </w:p>
    <w:p>
      <w:pPr>
        <w:pStyle w:val="Compact"/>
        <w:numPr>
          <w:ilvl w:val="0"/>
          <w:numId w:val="1003"/>
        </w:numPr>
      </w:pPr>
      <w:r>
        <w:t xml:space="preserve">Fiscal 2026 AI-related revenue was expected to approach</w:t>
      </w:r>
      <w:r>
        <w:t xml:space="preserve"> </w:t>
      </w:r>
      <w:r>
        <w:rPr>
          <w:b/>
          <w:bCs/>
        </w:rPr>
        <w:t xml:space="preserve">$2.4 billion</w:t>
      </w:r>
      <w:r>
        <w:t xml:space="preserve">.</w:t>
      </w:r>
    </w:p>
    <w:p>
      <w:pPr>
        <w:pStyle w:val="Compact"/>
        <w:numPr>
          <w:ilvl w:val="0"/>
          <w:numId w:val="1003"/>
        </w:numPr>
      </w:pPr>
      <w:r>
        <w:t xml:space="preserve">That implied approximately</w:t>
      </w:r>
      <w:r>
        <w:t xml:space="preserve"> </w:t>
      </w:r>
      <w:r>
        <w:rPr>
          <w:b/>
          <w:bCs/>
        </w:rPr>
        <w:t xml:space="preserve">70% growth</w:t>
      </w:r>
      <w:r>
        <w:t xml:space="preserve"> </w:t>
      </w:r>
      <w:r>
        <w:t xml:space="preserve">for the year.</w:t>
      </w:r>
    </w:p>
    <w:p>
      <w:pPr>
        <w:pStyle w:val="Compact"/>
        <w:numPr>
          <w:ilvl w:val="0"/>
          <w:numId w:val="1003"/>
        </w:numPr>
      </w:pPr>
      <w:r>
        <w:t xml:space="preserve">Management said previously discussed revenue targets were moving forward in time.</w:t>
      </w:r>
    </w:p>
    <w:p>
      <w:pPr>
        <w:pStyle w:val="Compact"/>
        <w:numPr>
          <w:ilvl w:val="0"/>
          <w:numId w:val="1003"/>
        </w:numPr>
      </w:pPr>
      <w:r>
        <w:t xml:space="preserve">All major hyperscale customers were described as growing.</w:t>
      </w:r>
    </w:p>
    <w:bookmarkStart w:id="11" w:name="what-investors-should-look-for"/>
    <w:p>
      <w:pPr>
        <w:pStyle w:val="Heading3"/>
      </w:pPr>
      <w:r>
        <w:t xml:space="preserve">What investors should look for</w:t>
      </w:r>
    </w:p>
    <w:p>
      <w:pPr>
        <w:pStyle w:val="FirstParagraph"/>
      </w:pPr>
      <w:r>
        <w:t xml:space="preserve">The key is not another strong year-over-year percentage. Investors already expect that. The key is</w:t>
      </w:r>
      <w:r>
        <w:t xml:space="preserve"> </w:t>
      </w:r>
      <w:r>
        <w:rPr>
          <w:b/>
          <w:bCs/>
        </w:rPr>
        <w:t xml:space="preserve">sequential acceleration</w:t>
      </w:r>
      <w:r>
        <w:t xml:space="preserve"> </w:t>
      </w:r>
      <w:r>
        <w:t xml:space="preserve">after DDN revenue was relatively flat across the first two fiscal quarters despite booming orders.</w:t>
      </w:r>
    </w:p>
    <w:p>
      <w:pPr>
        <w:pStyle w:val="BodyText"/>
      </w:pPr>
      <w:r>
        <w:t xml:space="preserve">A strong report would include:</w:t>
      </w:r>
    </w:p>
    <w:p>
      <w:pPr>
        <w:pStyle w:val="Compact"/>
        <w:numPr>
          <w:ilvl w:val="0"/>
          <w:numId w:val="1004"/>
        </w:numPr>
      </w:pPr>
      <w:r>
        <w:t xml:space="preserve">Material sequential DDN growth.</w:t>
      </w:r>
    </w:p>
    <w:p>
      <w:pPr>
        <w:pStyle w:val="Compact"/>
        <w:numPr>
          <w:ilvl w:val="0"/>
          <w:numId w:val="1004"/>
        </w:numPr>
      </w:pPr>
      <w:r>
        <w:t xml:space="preserve">Reaffirmation or an increase to the approximately $2.4 billion fiscal 2026 AI outlook.</w:t>
      </w:r>
    </w:p>
    <w:p>
      <w:pPr>
        <w:pStyle w:val="Compact"/>
        <w:numPr>
          <w:ilvl w:val="0"/>
          <w:numId w:val="1004"/>
        </w:numPr>
      </w:pPr>
      <w:r>
        <w:t xml:space="preserve">Continued visibility into fiscal 2027.</w:t>
      </w:r>
    </w:p>
    <w:p>
      <w:pPr>
        <w:pStyle w:val="Compact"/>
        <w:numPr>
          <w:ilvl w:val="0"/>
          <w:numId w:val="1004"/>
        </w:numPr>
      </w:pPr>
      <w:r>
        <w:t xml:space="preserve">Evidence that capacity investments are supporting shipments rather than creating start-up inefficiencies.</w:t>
      </w:r>
    </w:p>
    <w:p>
      <w:pPr>
        <w:pStyle w:val="Compact"/>
        <w:numPr>
          <w:ilvl w:val="0"/>
          <w:numId w:val="1004"/>
        </w:numPr>
      </w:pPr>
      <w:r>
        <w:t xml:space="preserve">No meaningful cancellations, pushouts, or customer inventory concerns.</w:t>
      </w:r>
    </w:p>
    <w:bookmarkEnd w:id="11"/>
    <w:bookmarkStart w:id="12" w:name="the-optical-question"/>
    <w:p>
      <w:pPr>
        <w:pStyle w:val="Heading3"/>
      </w:pPr>
      <w:r>
        <w:t xml:space="preserve">The optical question</w:t>
      </w:r>
    </w:p>
    <w:p>
      <w:pPr>
        <w:pStyle w:val="FirstParagraph"/>
      </w:pPr>
      <w:r>
        <w:t xml:space="preserve">Management continues to argue that the future is</w:t>
      </w:r>
      <w:r>
        <w:t xml:space="preserve"> </w:t>
      </w:r>
      <w:r>
        <w:rPr>
          <w:b/>
          <w:bCs/>
        </w:rPr>
        <w:t xml:space="preserve">copper and optical</w:t>
      </w:r>
      <w:r>
        <w:t xml:space="preserve">, rather than optical replacing copper outright. TEL’s current strength is primarily inside the rack, where copper remains attractive on cost, power consumption, and reliability. The company has also acquired passive-optical technology to participate as co-packaged optics and fiber connectivity expand.</w:t>
      </w:r>
    </w:p>
    <w:p>
      <w:pPr>
        <w:pStyle w:val="BodyText"/>
      </w:pPr>
      <w:r>
        <w:t xml:space="preserve">The earnings call should clarify:</w:t>
      </w:r>
    </w:p>
    <w:p>
      <w:pPr>
        <w:pStyle w:val="Compact"/>
        <w:numPr>
          <w:ilvl w:val="0"/>
          <w:numId w:val="1005"/>
        </w:numPr>
      </w:pPr>
      <w:r>
        <w:t xml:space="preserve">Whether customer architectures are shifting toward optics faster than expected.</w:t>
      </w:r>
    </w:p>
    <w:p>
      <w:pPr>
        <w:pStyle w:val="Compact"/>
        <w:numPr>
          <w:ilvl w:val="0"/>
          <w:numId w:val="1005"/>
        </w:numPr>
      </w:pPr>
      <w:r>
        <w:t xml:space="preserve">Whether optical adoption is additive to TEL’s content or displaces existing copper content.</w:t>
      </w:r>
    </w:p>
    <w:p>
      <w:pPr>
        <w:pStyle w:val="Compact"/>
        <w:numPr>
          <w:ilvl w:val="0"/>
          <w:numId w:val="1005"/>
        </w:numPr>
      </w:pPr>
      <w:r>
        <w:t xml:space="preserve">Progress commercializing the recently acquired passive-optical technology.</w:t>
      </w:r>
    </w:p>
    <w:p>
      <w:pPr>
        <w:pStyle w:val="Compact"/>
        <w:numPr>
          <w:ilvl w:val="0"/>
          <w:numId w:val="1005"/>
        </w:numPr>
      </w:pPr>
      <w:r>
        <w:t xml:space="preserve">The effect of higher-voltage and liquid-cooled rack architectures on TEL’s power-connectivity content.</w:t>
      </w:r>
    </w:p>
    <w:p>
      <w:r>
        <w:pict>
          <v:rect style="width:0;height:1.5pt" o:hralign="center" o:hrstd="t" o:hr="t"/>
        </w:pict>
      </w:r>
    </w:p>
    <w:bookmarkEnd w:id="12"/>
    <w:bookmarkEnd w:id="13"/>
    <w:bookmarkStart w:id="15" w:name="X9d60de4d8f55cda4b06308899fcb116de4d22c1"/>
    <w:p>
      <w:pPr>
        <w:pStyle w:val="Heading2"/>
      </w:pPr>
      <w:r>
        <w:t xml:space="preserve">Margin execution may determine the quality of the quarter</w:t>
      </w:r>
    </w:p>
    <w:p>
      <w:pPr>
        <w:pStyle w:val="FirstParagraph"/>
      </w:pPr>
      <w:r>
        <w:t xml:space="preserve">TEL posted a</w:t>
      </w:r>
      <w:r>
        <w:t xml:space="preserve"> </w:t>
      </w:r>
      <w:r>
        <w:rPr>
          <w:b/>
          <w:bCs/>
        </w:rPr>
        <w:t xml:space="preserve">21.7% adjusted operating margin</w:t>
      </w:r>
      <w:r>
        <w:t xml:space="preserve"> </w:t>
      </w:r>
      <w:r>
        <w:t xml:space="preserve">in Q2, up 130 basis points year over year. Both segments were near 22%:</w:t>
      </w:r>
    </w:p>
    <w:p>
      <w:pPr>
        <w:pStyle w:val="Compact"/>
        <w:numPr>
          <w:ilvl w:val="0"/>
          <w:numId w:val="1006"/>
        </w:numPr>
      </w:pPr>
      <w:r>
        <w:t xml:space="preserve">Transportation Solutions:</w:t>
      </w:r>
      <w:r>
        <w:t xml:space="preserve"> </w:t>
      </w:r>
      <w:r>
        <w:rPr>
          <w:b/>
          <w:bCs/>
        </w:rPr>
        <w:t xml:space="preserve">21.6%</w:t>
      </w:r>
    </w:p>
    <w:p>
      <w:pPr>
        <w:pStyle w:val="Compact"/>
        <w:numPr>
          <w:ilvl w:val="0"/>
          <w:numId w:val="1006"/>
        </w:numPr>
      </w:pPr>
      <w:r>
        <w:t xml:space="preserve">Industrial Solutions:</w:t>
      </w:r>
      <w:r>
        <w:t xml:space="preserve"> </w:t>
      </w:r>
      <w:r>
        <w:rPr>
          <w:b/>
          <w:bCs/>
        </w:rPr>
        <w:t xml:space="preserve">21.8%</w:t>
      </w:r>
    </w:p>
    <w:p>
      <w:pPr>
        <w:pStyle w:val="FirstParagraph"/>
      </w:pPr>
      <w:r>
        <w:t xml:space="preserve">Management’s long-term framework calls for at least</w:t>
      </w:r>
      <w:r>
        <w:t xml:space="preserve"> </w:t>
      </w:r>
      <w:r>
        <w:rPr>
          <w:b/>
          <w:bCs/>
        </w:rPr>
        <w:t xml:space="preserve">30% incremental operating-income flow-through</w:t>
      </w:r>
      <w:r>
        <w:t xml:space="preserve">, which should support roughly 50–60 basis points of annual margin expansion under the through-cycle growth model.</w:t>
      </w:r>
    </w:p>
    <w:p>
      <w:pPr>
        <w:pStyle w:val="BodyText"/>
      </w:pPr>
      <w:r>
        <w:t xml:space="preserve">The Q3 consensus margin of approximately 21.9% implies that investors expect TEL to preserve its recent performance even as it:</w:t>
      </w:r>
    </w:p>
    <w:p>
      <w:pPr>
        <w:pStyle w:val="Compact"/>
        <w:numPr>
          <w:ilvl w:val="0"/>
          <w:numId w:val="1007"/>
        </w:numPr>
      </w:pPr>
      <w:r>
        <w:t xml:space="preserve">Ramps new AI programs.</w:t>
      </w:r>
    </w:p>
    <w:p>
      <w:pPr>
        <w:pStyle w:val="Compact"/>
        <w:numPr>
          <w:ilvl w:val="0"/>
          <w:numId w:val="1007"/>
        </w:numPr>
      </w:pPr>
      <w:r>
        <w:t xml:space="preserve">Runs capital expenditures at roughly 6% of sales.</w:t>
      </w:r>
    </w:p>
    <w:p>
      <w:pPr>
        <w:pStyle w:val="Compact"/>
        <w:numPr>
          <w:ilvl w:val="0"/>
          <w:numId w:val="1007"/>
        </w:numPr>
      </w:pPr>
      <w:r>
        <w:t xml:space="preserve">Absorbs higher resin, freight, energy, and logistics costs.</w:t>
      </w:r>
    </w:p>
    <w:p>
      <w:pPr>
        <w:pStyle w:val="Compact"/>
        <w:numPr>
          <w:ilvl w:val="0"/>
          <w:numId w:val="1007"/>
        </w:numPr>
      </w:pPr>
      <w:r>
        <w:t xml:space="preserve">Carries a higher adjusted tax rate—management expected approximately 23% in Q3 versus roughly 21% in Q2.</w:t>
      </w:r>
    </w:p>
    <w:bookmarkStart w:id="14" w:name="price-cost-is-the-near-term-risk"/>
    <w:p>
      <w:pPr>
        <w:pStyle w:val="Heading3"/>
      </w:pPr>
      <w:r>
        <w:t xml:space="preserve">Price-cost is the near-term risk</w:t>
      </w:r>
    </w:p>
    <w:p>
      <w:pPr>
        <w:pStyle w:val="FirstParagraph"/>
      </w:pPr>
      <w:r>
        <w:t xml:space="preserve">Management said in April and again in May that TEL was experiencing a new round of inflation, particularly in oil-based resins and freight. The company was pursuing price increases across its businesses, but acknowledged that cost inflation can precede price recovery by a quarter.</w:t>
      </w:r>
    </w:p>
    <w:p>
      <w:pPr>
        <w:pStyle w:val="BodyText"/>
      </w:pPr>
      <w:r>
        <w:t xml:space="preserve">Accordingly, investors should distinguish between:</w:t>
      </w:r>
    </w:p>
    <w:p>
      <w:pPr>
        <w:pStyle w:val="Compact"/>
        <w:numPr>
          <w:ilvl w:val="0"/>
          <w:numId w:val="1008"/>
        </w:numPr>
      </w:pPr>
      <w:r>
        <w:rPr>
          <w:b/>
          <w:bCs/>
        </w:rPr>
        <w:t xml:space="preserve">Temporary timing pressure</w:t>
      </w:r>
      <w:r>
        <w:t xml:space="preserve">, which should reverse as pricing catches up; and</w:t>
      </w:r>
    </w:p>
    <w:p>
      <w:pPr>
        <w:pStyle w:val="Compact"/>
        <w:numPr>
          <w:ilvl w:val="0"/>
          <w:numId w:val="1008"/>
        </w:numPr>
      </w:pPr>
      <w:r>
        <w:rPr>
          <w:b/>
          <w:bCs/>
        </w:rPr>
        <w:t xml:space="preserve">Structural margin dilution</w:t>
      </w:r>
      <w:r>
        <w:t xml:space="preserve">, which would call the 30%-plus flow-through model into question.</w:t>
      </w:r>
    </w:p>
    <w:p>
      <w:pPr>
        <w:pStyle w:val="FirstParagraph"/>
      </w:pPr>
      <w:r>
        <w:t xml:space="preserve">An adjusted margin around or above 22%, accompanied by confidence in Q4 flow-through, would be a high-quality outcome. A revenue beat produced with a margin below roughly 21.5% would be less reassuring.</w:t>
      </w:r>
    </w:p>
    <w:p>
      <w:r>
        <w:pict>
          <v:rect style="width:0;height:1.5pt" o:hralign="center" o:hrstd="t" o:hr="t"/>
        </w:pict>
      </w:r>
    </w:p>
    <w:bookmarkEnd w:id="14"/>
    <w:bookmarkEnd w:id="15"/>
    <w:bookmarkStart w:id="18" w:name="X4d747b8725400722eca9e06be3f3fe46f9e135e"/>
    <w:p>
      <w:pPr>
        <w:pStyle w:val="Heading2"/>
      </w:pPr>
      <w:r>
        <w:t xml:space="preserve">Transportation: modest expectations, but several moving parts</w:t>
      </w:r>
    </w:p>
    <w:p>
      <w:pPr>
        <w:pStyle w:val="FirstParagraph"/>
      </w:pPr>
      <w:r>
        <w:t xml:space="preserve">Transportation Solutions was the weak spot in Q2:</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 fiscal 2026 organic growth</w:t>
            </w:r>
          </w:p>
        </w:tc>
        <w:tc>
          <w:tcPr/>
          <w:p>
            <w:pPr>
              <w:pStyle w:val="Compact"/>
              <w:jc w:val="right"/>
            </w:pPr>
            <w:r>
              <w:t xml:space="preserve">Growth</w:t>
            </w:r>
          </w:p>
        </w:tc>
      </w:tr>
      <w:tr>
        <w:tc>
          <w:tcPr/>
          <w:p>
            <w:pPr>
              <w:pStyle w:val="Compact"/>
            </w:pPr>
            <w:r>
              <w:t xml:space="preserve">Automotive</w:t>
            </w:r>
          </w:p>
        </w:tc>
        <w:tc>
          <w:tcPr/>
          <w:p>
            <w:pPr>
              <w:pStyle w:val="Compact"/>
              <w:jc w:val="right"/>
            </w:pPr>
            <w:r>
              <w:rPr>
                <w:b/>
                <w:bCs/>
              </w:rPr>
              <w:t xml:space="preserve">-3.8%</w:t>
            </w:r>
          </w:p>
        </w:tc>
      </w:tr>
      <w:tr>
        <w:tc>
          <w:tcPr/>
          <w:p>
            <w:pPr>
              <w:pStyle w:val="Compact"/>
            </w:pPr>
            <w:r>
              <w:t xml:space="preserve">Commercial transportation</w:t>
            </w:r>
          </w:p>
        </w:tc>
        <w:tc>
          <w:tcPr/>
          <w:p>
            <w:pPr>
              <w:pStyle w:val="Compact"/>
              <w:jc w:val="right"/>
            </w:pPr>
            <w:r>
              <w:rPr>
                <w:b/>
                <w:bCs/>
              </w:rPr>
              <w:t xml:space="preserve">+17.1%</w:t>
            </w:r>
          </w:p>
        </w:tc>
      </w:tr>
      <w:tr>
        <w:tc>
          <w:tcPr/>
          <w:p>
            <w:pPr>
              <w:pStyle w:val="Compact"/>
            </w:pPr>
            <w:r>
              <w:t xml:space="preserve">Sensors</w:t>
            </w:r>
          </w:p>
        </w:tc>
        <w:tc>
          <w:tcPr/>
          <w:p>
            <w:pPr>
              <w:pStyle w:val="Compact"/>
              <w:jc w:val="right"/>
            </w:pPr>
            <w:r>
              <w:rPr>
                <w:b/>
                <w:bCs/>
              </w:rPr>
              <w:t xml:space="preserve">-3.0%</w:t>
            </w:r>
          </w:p>
        </w:tc>
      </w:tr>
      <w:tr>
        <w:tc>
          <w:tcPr/>
          <w:p>
            <w:pPr>
              <w:pStyle w:val="Compact"/>
            </w:pPr>
            <w:r>
              <w:t xml:space="preserve">Total Transportation</w:t>
            </w:r>
          </w:p>
        </w:tc>
        <w:tc>
          <w:tcPr/>
          <w:p>
            <w:pPr>
              <w:pStyle w:val="Compact"/>
              <w:jc w:val="right"/>
            </w:pPr>
            <w:r>
              <w:rPr>
                <w:b/>
                <w:bCs/>
              </w:rPr>
              <w:t xml:space="preserve">-0.5%</w:t>
            </w:r>
          </w:p>
        </w:tc>
      </w:tr>
    </w:tbl>
    <w:p>
      <w:pPr>
        <w:pStyle w:val="BodyText"/>
      </w:pPr>
      <w:r>
        <w:t xml:space="preserve">Management nevertheless expected every business to grow sequentially in Q3.</w:t>
      </w:r>
    </w:p>
    <w:bookmarkStart w:id="16" w:name="automotive"/>
    <w:p>
      <w:pPr>
        <w:pStyle w:val="Heading3"/>
      </w:pPr>
      <w:r>
        <w:t xml:space="preserve">Automotive</w:t>
      </w:r>
    </w:p>
    <w:p>
      <w:pPr>
        <w:pStyle w:val="FirstParagraph"/>
      </w:pPr>
      <w:r>
        <w:t xml:space="preserve">TEL assumes global light-vehicle production of approximately 88–89 million units, with production slightly down and broadly sideways. The growth case therefore depends on TEL outperforming production by</w:t>
      </w:r>
      <w:r>
        <w:t xml:space="preserve"> </w:t>
      </w:r>
      <w:r>
        <w:rPr>
          <w:b/>
          <w:bCs/>
        </w:rPr>
        <w:t xml:space="preserve">4–6 percentage points</w:t>
      </w:r>
      <w:r>
        <w:t xml:space="preserve"> </w:t>
      </w:r>
      <w:r>
        <w:t xml:space="preserve">through higher content from:</w:t>
      </w:r>
    </w:p>
    <w:p>
      <w:pPr>
        <w:pStyle w:val="Compact"/>
        <w:numPr>
          <w:ilvl w:val="0"/>
          <w:numId w:val="1009"/>
        </w:numPr>
      </w:pPr>
      <w:r>
        <w:t xml:space="preserve">In-vehicle data connectivity.</w:t>
      </w:r>
    </w:p>
    <w:p>
      <w:pPr>
        <w:pStyle w:val="Compact"/>
        <w:numPr>
          <w:ilvl w:val="0"/>
          <w:numId w:val="1009"/>
        </w:numPr>
      </w:pPr>
      <w:r>
        <w:t xml:space="preserve">Electrified powertrains.</w:t>
      </w:r>
    </w:p>
    <w:p>
      <w:pPr>
        <w:pStyle w:val="Compact"/>
        <w:numPr>
          <w:ilvl w:val="0"/>
          <w:numId w:val="1009"/>
        </w:numPr>
      </w:pPr>
      <w:r>
        <w:t xml:space="preserve">Zonal and software-defined vehicle architectures.</w:t>
      </w:r>
    </w:p>
    <w:p>
      <w:pPr>
        <w:pStyle w:val="Compact"/>
        <w:numPr>
          <w:ilvl w:val="0"/>
          <w:numId w:val="1009"/>
        </w:numPr>
      </w:pPr>
      <w:r>
        <w:t xml:space="preserve">Additional low-voltage electronic systems.</w:t>
      </w:r>
    </w:p>
    <w:p>
      <w:pPr>
        <w:pStyle w:val="FirstParagraph"/>
      </w:pPr>
      <w:r>
        <w:t xml:space="preserve">The company’s Asian exposure is an advantage, particularly with Chinese OEMs and EV platforms. North America remains the main weakness.</w:t>
      </w:r>
    </w:p>
    <w:p>
      <w:pPr>
        <w:pStyle w:val="BodyText"/>
      </w:pPr>
      <w:r>
        <w:t xml:space="preserve">The Q3 test is whether automotive content growth accelerates enough to offset production pressure. Investors should listen for:</w:t>
      </w:r>
    </w:p>
    <w:p>
      <w:pPr>
        <w:pStyle w:val="Compact"/>
        <w:numPr>
          <w:ilvl w:val="0"/>
          <w:numId w:val="1010"/>
        </w:numPr>
      </w:pPr>
      <w:r>
        <w:t xml:space="preserve">Full-year confidence in 4–6 points of outgrowth.</w:t>
      </w:r>
    </w:p>
    <w:p>
      <w:pPr>
        <w:pStyle w:val="Compact"/>
        <w:numPr>
          <w:ilvl w:val="0"/>
          <w:numId w:val="1010"/>
        </w:numPr>
      </w:pPr>
      <w:r>
        <w:t xml:space="preserve">China and broader Asian design-win momentum.</w:t>
      </w:r>
    </w:p>
    <w:p>
      <w:pPr>
        <w:pStyle w:val="Compact"/>
        <w:numPr>
          <w:ilvl w:val="0"/>
          <w:numId w:val="1010"/>
        </w:numPr>
      </w:pPr>
      <w:r>
        <w:t xml:space="preserve">North American customer cancellations or program changes.</w:t>
      </w:r>
    </w:p>
    <w:p>
      <w:pPr>
        <w:pStyle w:val="Compact"/>
        <w:numPr>
          <w:ilvl w:val="0"/>
          <w:numId w:val="1010"/>
        </w:numPr>
      </w:pPr>
      <w:r>
        <w:t xml:space="preserve">EV-related weakness versus strength in data connectivity and electronics.</w:t>
      </w:r>
    </w:p>
    <w:bookmarkEnd w:id="16"/>
    <w:bookmarkStart w:id="17" w:name="commercial-transportation"/>
    <w:p>
      <w:pPr>
        <w:pStyle w:val="Heading3"/>
      </w:pPr>
      <w:r>
        <w:t xml:space="preserve">Commercial transportation</w:t>
      </w:r>
    </w:p>
    <w:p>
      <w:pPr>
        <w:pStyle w:val="FirstParagraph"/>
      </w:pPr>
      <w:r>
        <w:t xml:space="preserve">Commercial transportation has been an important upside contributor, with Q2 organic sales growth of 17%. TEL cited improving demand in Europe and Asia and stabilization in North America.</w:t>
      </w:r>
    </w:p>
    <w:p>
      <w:pPr>
        <w:pStyle w:val="BodyText"/>
      </w:pPr>
      <w:r>
        <w:t xml:space="preserve">Recent evidence of continued North American heavy-truck weakness makes this an area to watch. TEL can still outperform through program wins and higher content, but a softer production backdrop could limit the rate of growth later in the year.</w:t>
      </w:r>
    </w:p>
    <w:p>
      <w:r>
        <w:pict>
          <v:rect style="width:0;height:1.5pt" o:hralign="center" o:hrstd="t" o:hr="t"/>
        </w:pict>
      </w:r>
    </w:p>
    <w:bookmarkEnd w:id="17"/>
    <w:bookmarkEnd w:id="18"/>
    <w:bookmarkStart w:id="23" w:name="industrial-growth-is-broader-than-ai"/>
    <w:p>
      <w:pPr>
        <w:pStyle w:val="Heading2"/>
      </w:pPr>
      <w:r>
        <w:t xml:space="preserve">Industrial growth is broader than AI</w:t>
      </w:r>
    </w:p>
    <w:p>
      <w:pPr>
        <w:pStyle w:val="FirstParagraph"/>
      </w:pPr>
      <w:r>
        <w:t xml:space="preserve">AI will dominate the discussion, but TEL’s Industrial segment has several additional supports.</w:t>
      </w:r>
    </w:p>
    <w:bookmarkStart w:id="19" w:name="energy"/>
    <w:p>
      <w:pPr>
        <w:pStyle w:val="Heading3"/>
      </w:pPr>
      <w:r>
        <w:t xml:space="preserve">Energy</w:t>
      </w:r>
    </w:p>
    <w:p>
      <w:pPr>
        <w:pStyle w:val="FirstParagraph"/>
      </w:pPr>
      <w:r>
        <w:t xml:space="preserve">Q2 energy revenue grew:</w:t>
      </w:r>
    </w:p>
    <w:p>
      <w:pPr>
        <w:pStyle w:val="Compact"/>
        <w:numPr>
          <w:ilvl w:val="0"/>
          <w:numId w:val="1011"/>
        </w:numPr>
      </w:pPr>
      <w:r>
        <w:rPr>
          <w:b/>
          <w:bCs/>
        </w:rPr>
        <w:t xml:space="preserve">59.5% reported</w:t>
      </w:r>
    </w:p>
    <w:p>
      <w:pPr>
        <w:pStyle w:val="Compact"/>
        <w:numPr>
          <w:ilvl w:val="0"/>
          <w:numId w:val="1011"/>
        </w:numPr>
      </w:pPr>
      <w:r>
        <w:rPr>
          <w:b/>
          <w:bCs/>
        </w:rPr>
        <w:t xml:space="preserve">11.2% organically</w:t>
      </w:r>
    </w:p>
    <w:p>
      <w:pPr>
        <w:pStyle w:val="FirstParagraph"/>
      </w:pPr>
      <w:r>
        <w:t xml:space="preserve">The Richards acquisition contributes to reported growth, but the organic story is also healthy. Approximately two-thirds of the business is tied to utilities and grid hardening, while another meaningful portion supplies power connections into data centers and industrial facilities.</w:t>
      </w:r>
    </w:p>
    <w:p>
      <w:pPr>
        <w:pStyle w:val="BodyText"/>
      </w:pPr>
      <w:r>
        <w:t xml:space="preserve">Management has described grid modernization and data-center power infrastructure as multiyear investment cycles. Investors should look for continued double-digit organic growth and commentary on:</w:t>
      </w:r>
    </w:p>
    <w:p>
      <w:pPr>
        <w:pStyle w:val="Compact"/>
        <w:numPr>
          <w:ilvl w:val="0"/>
          <w:numId w:val="1012"/>
        </w:numPr>
      </w:pPr>
      <w:r>
        <w:t xml:space="preserve">Utility capital spending.</w:t>
      </w:r>
    </w:p>
    <w:p>
      <w:pPr>
        <w:pStyle w:val="Compact"/>
        <w:numPr>
          <w:ilvl w:val="0"/>
          <w:numId w:val="1012"/>
        </w:numPr>
      </w:pPr>
      <w:r>
        <w:t xml:space="preserve">Underground-grid projects.</w:t>
      </w:r>
    </w:p>
    <w:p>
      <w:pPr>
        <w:pStyle w:val="Compact"/>
        <w:numPr>
          <w:ilvl w:val="0"/>
          <w:numId w:val="1012"/>
        </w:numPr>
      </w:pPr>
      <w:r>
        <w:t xml:space="preserve">Data-center power connections.</w:t>
      </w:r>
    </w:p>
    <w:p>
      <w:pPr>
        <w:pStyle w:val="Compact"/>
        <w:numPr>
          <w:ilvl w:val="0"/>
          <w:numId w:val="1012"/>
        </w:numPr>
      </w:pPr>
      <w:r>
        <w:t xml:space="preserve">Renewable-energy project timing.</w:t>
      </w:r>
    </w:p>
    <w:p>
      <w:pPr>
        <w:pStyle w:val="Compact"/>
        <w:numPr>
          <w:ilvl w:val="0"/>
          <w:numId w:val="1012"/>
        </w:numPr>
      </w:pPr>
      <w:r>
        <w:t xml:space="preserve">Richards integration and capacity expansion.</w:t>
      </w:r>
    </w:p>
    <w:bookmarkEnd w:id="19"/>
    <w:bookmarkStart w:id="20" w:name="automation-and-connected-living"/>
    <w:p>
      <w:pPr>
        <w:pStyle w:val="Heading3"/>
      </w:pPr>
      <w:r>
        <w:t xml:space="preserve">Automation and Connected Living</w:t>
      </w:r>
    </w:p>
    <w:p>
      <w:pPr>
        <w:pStyle w:val="FirstParagraph"/>
      </w:pPr>
      <w:r>
        <w:t xml:space="preserve">Q2 organic growth was 8.2%, and management described factory automation as being at an early cyclical inflection after a multiyear downturn. Sustained order growth here would improve the breadth and quality of TEL’s industrial recovery.</w:t>
      </w:r>
    </w:p>
    <w:bookmarkEnd w:id="20"/>
    <w:bookmarkStart w:id="21" w:name="aerospace-defense-and-marine"/>
    <w:p>
      <w:pPr>
        <w:pStyle w:val="Heading3"/>
      </w:pPr>
      <w:r>
        <w:t xml:space="preserve">Aerospace, defense and marine</w:t>
      </w:r>
    </w:p>
    <w:p>
      <w:pPr>
        <w:pStyle w:val="FirstParagraph"/>
      </w:pPr>
      <w:r>
        <w:t xml:space="preserve">Q2 organic growth was 5.4%, with a growing backlog supported by defense modernization and commercial-aerospace production. This business should remain a stable contributor, although longer lead times mean orders may convert gradually.</w:t>
      </w:r>
    </w:p>
    <w:bookmarkEnd w:id="21"/>
    <w:bookmarkStart w:id="22" w:name="medical"/>
    <w:p>
      <w:pPr>
        <w:pStyle w:val="Heading3"/>
      </w:pPr>
      <w:r>
        <w:t xml:space="preserve">Medical</w:t>
      </w:r>
    </w:p>
    <w:p>
      <w:pPr>
        <w:pStyle w:val="FirstParagraph"/>
      </w:pPr>
      <w:r>
        <w:t xml:space="preserve">Medical remained the weakest Industrial business, with Q2 organic revenue down 3.5%. It is not large enough to drive the overall quarter, but another decline would reinforce questions about the timing of the expected recovery.</w:t>
      </w:r>
    </w:p>
    <w:p>
      <w:r>
        <w:pict>
          <v:rect style="width:0;height:1.5pt" o:hralign="center" o:hrstd="t" o:hr="t"/>
        </w:pict>
      </w:r>
    </w:p>
    <w:bookmarkEnd w:id="22"/>
    <w:bookmarkEnd w:id="23"/>
    <w:bookmarkStart w:id="24" w:name="Xb47431390389dba999196a5da4c97dc098d2a26"/>
    <w:p>
      <w:pPr>
        <w:pStyle w:val="Heading2"/>
      </w:pPr>
      <w:r>
        <w:t xml:space="preserve">Orders and book-to-bill: arguably the most important non-GAAP indicator</w:t>
      </w:r>
    </w:p>
    <w:p>
      <w:pPr>
        <w:pStyle w:val="FirstParagraph"/>
      </w:pPr>
      <w:r>
        <w:t xml:space="preserve">TEL recorded</w:t>
      </w:r>
      <w:r>
        <w:t xml:space="preserve"> </w:t>
      </w:r>
      <w:r>
        <w:rPr>
          <w:b/>
          <w:bCs/>
        </w:rPr>
        <w:t xml:space="preserve">$5.3 billion of Q2 orders</w:t>
      </w:r>
      <w:r>
        <w:t xml:space="preserve">, a company record, with a</w:t>
      </w:r>
      <w:r>
        <w:t xml:space="preserve"> </w:t>
      </w:r>
      <w:r>
        <w:rPr>
          <w:b/>
          <w:bCs/>
        </w:rPr>
        <w:t xml:space="preserve">1.12 book-to-bill ratio</w:t>
      </w:r>
      <w:r>
        <w:t xml:space="preserve">. Orders grew 25% year over year, including:</w:t>
      </w:r>
    </w:p>
    <w:p>
      <w:pPr>
        <w:pStyle w:val="Compact"/>
        <w:numPr>
          <w:ilvl w:val="0"/>
          <w:numId w:val="1013"/>
        </w:numPr>
      </w:pPr>
      <w:r>
        <w:t xml:space="preserve">Approximately 40% growth in Industrial.</w:t>
      </w:r>
    </w:p>
    <w:p>
      <w:pPr>
        <w:pStyle w:val="Compact"/>
        <w:numPr>
          <w:ilvl w:val="0"/>
          <w:numId w:val="1013"/>
        </w:numPr>
      </w:pPr>
      <w:r>
        <w:t xml:space="preserve">More than 60% growth in DDN.</w:t>
      </w:r>
    </w:p>
    <w:p>
      <w:pPr>
        <w:pStyle w:val="Compact"/>
        <w:numPr>
          <w:ilvl w:val="0"/>
          <w:numId w:val="1013"/>
        </w:numPr>
      </w:pPr>
      <w:r>
        <w:t xml:space="preserve">Double-digit growth across essentially every Industrial business.</w:t>
      </w:r>
    </w:p>
    <w:p>
      <w:pPr>
        <w:pStyle w:val="Compact"/>
        <w:numPr>
          <w:ilvl w:val="0"/>
          <w:numId w:val="1013"/>
        </w:numPr>
      </w:pPr>
      <w:r>
        <w:t xml:space="preserve">13% growth in Transportation.</w:t>
      </w:r>
    </w:p>
    <w:p>
      <w:pPr>
        <w:pStyle w:val="FirstParagraph"/>
      </w:pPr>
      <w:r>
        <w:t xml:space="preserve">First-half orders totaled more than $10 billion, and management said momentum remained strong in April.</w:t>
      </w:r>
    </w:p>
    <w:p>
      <w:pPr>
        <w:pStyle w:val="BodyText"/>
      </w:pPr>
      <w:r>
        <w:t xml:space="preserve">For Q3, orders do not necessarily need to set another record. But investors will want:</w:t>
      </w:r>
    </w:p>
    <w:p>
      <w:pPr>
        <w:pStyle w:val="Compact"/>
        <w:numPr>
          <w:ilvl w:val="0"/>
          <w:numId w:val="1014"/>
        </w:numPr>
      </w:pPr>
      <w:r>
        <w:t xml:space="preserve">Orders at least roughly in line with sales.</w:t>
      </w:r>
    </w:p>
    <w:p>
      <w:pPr>
        <w:pStyle w:val="Compact"/>
        <w:numPr>
          <w:ilvl w:val="0"/>
          <w:numId w:val="1014"/>
        </w:numPr>
      </w:pPr>
      <w:r>
        <w:t xml:space="preserve">Continued backlog growth or stable elevated backlog.</w:t>
      </w:r>
    </w:p>
    <w:p>
      <w:pPr>
        <w:pStyle w:val="Compact"/>
        <w:numPr>
          <w:ilvl w:val="0"/>
          <w:numId w:val="1014"/>
        </w:numPr>
      </w:pPr>
      <w:r>
        <w:t xml:space="preserve">No indication of duplicated or precautionary ordering.</w:t>
      </w:r>
    </w:p>
    <w:p>
      <w:pPr>
        <w:pStyle w:val="Compact"/>
        <w:numPr>
          <w:ilvl w:val="0"/>
          <w:numId w:val="1014"/>
        </w:numPr>
      </w:pPr>
      <w:r>
        <w:t xml:space="preserve">Confirmation that hyperscaler customers are reserving capacity against real projects.</w:t>
      </w:r>
    </w:p>
    <w:p>
      <w:pPr>
        <w:pStyle w:val="Compact"/>
        <w:numPr>
          <w:ilvl w:val="0"/>
          <w:numId w:val="1014"/>
        </w:numPr>
      </w:pPr>
      <w:r>
        <w:t xml:space="preserve">Continued strength beyond AI, particularly in energy, automation, aerospace and commercial transportation.</w:t>
      </w:r>
    </w:p>
    <w:p>
      <w:pPr>
        <w:pStyle w:val="FirstParagraph"/>
      </w:pPr>
      <w:r>
        <w:t xml:space="preserve">A sharp drop below a 1.0 book-to-bill, particularly if paired with cautious AI commentary, would materially weaken the forward thesis.</w:t>
      </w:r>
    </w:p>
    <w:p>
      <w:r>
        <w:pict>
          <v:rect style="width:0;height:1.5pt" o:hralign="center" o:hrstd="t" o:hr="t"/>
        </w:pict>
      </w:r>
    </w:p>
    <w:bookmarkEnd w:id="24"/>
    <w:bookmarkStart w:id="25" w:name="Xafa82f1b990204858c01f157a4e7fb43a2a3953"/>
    <w:p>
      <w:pPr>
        <w:pStyle w:val="Heading2"/>
      </w:pPr>
      <w:r>
        <w:t xml:space="preserve">Cash flow, capital spending and balance-sheet items</w:t>
      </w:r>
    </w:p>
    <w:p>
      <w:pPr>
        <w:pStyle w:val="FirstParagraph"/>
      </w:pPr>
      <w:r>
        <w:t xml:space="preserve">Through the first half, TEL generated:</w:t>
      </w:r>
    </w:p>
    <w:p>
      <w:pPr>
        <w:pStyle w:val="Compact"/>
        <w:numPr>
          <w:ilvl w:val="0"/>
          <w:numId w:val="1015"/>
        </w:numPr>
      </w:pPr>
      <w:r>
        <w:rPr>
          <w:b/>
          <w:bCs/>
        </w:rPr>
        <w:t xml:space="preserve">$1.81 billion</w:t>
      </w:r>
      <w:r>
        <w:t xml:space="preserve"> </w:t>
      </w:r>
      <w:r>
        <w:t xml:space="preserve">of operating cash flow.</w:t>
      </w:r>
    </w:p>
    <w:p>
      <w:pPr>
        <w:pStyle w:val="Compact"/>
        <w:numPr>
          <w:ilvl w:val="0"/>
          <w:numId w:val="1015"/>
        </w:numPr>
      </w:pPr>
      <w:r>
        <w:rPr>
          <w:b/>
          <w:bCs/>
        </w:rPr>
        <w:t xml:space="preserve">$1.29 billion</w:t>
      </w:r>
      <w:r>
        <w:t xml:space="preserve"> </w:t>
      </w:r>
      <w:r>
        <w:t xml:space="preserve">of free cash flow, up 17%.</w:t>
      </w:r>
    </w:p>
    <w:p>
      <w:pPr>
        <w:pStyle w:val="Compact"/>
        <w:numPr>
          <w:ilvl w:val="0"/>
          <w:numId w:val="1015"/>
        </w:numPr>
      </w:pPr>
      <w:r>
        <w:t xml:space="preserve">Approximately</w:t>
      </w:r>
      <w:r>
        <w:t xml:space="preserve"> </w:t>
      </w:r>
      <w:r>
        <w:rPr>
          <w:b/>
          <w:bCs/>
        </w:rPr>
        <w:t xml:space="preserve">$1.2 billion</w:t>
      </w:r>
      <w:r>
        <w:t xml:space="preserve"> </w:t>
      </w:r>
      <w:r>
        <w:t xml:space="preserve">returned to shareholders.</w:t>
      </w:r>
    </w:p>
    <w:p>
      <w:pPr>
        <w:pStyle w:val="FirstParagraph"/>
      </w:pPr>
      <w:r>
        <w:t xml:space="preserve">Management continues to target approximately</w:t>
      </w:r>
      <w:r>
        <w:t xml:space="preserve"> </w:t>
      </w:r>
      <w:r>
        <w:rPr>
          <w:b/>
          <w:bCs/>
        </w:rPr>
        <w:t xml:space="preserve">100% free-cash-flow conversion</w:t>
      </w:r>
      <w:r>
        <w:t xml:space="preserve"> </w:t>
      </w:r>
      <w:r>
        <w:t xml:space="preserve">for the year. Capital expenditures are expected to run around 6% of revenue, largely due to awarded AI programs.</w:t>
      </w:r>
    </w:p>
    <w:p>
      <w:pPr>
        <w:pStyle w:val="BodyText"/>
      </w:pPr>
      <w:r>
        <w:t xml:space="preserve">Important questions include:</w:t>
      </w:r>
    </w:p>
    <w:p>
      <w:pPr>
        <w:pStyle w:val="Compact"/>
        <w:numPr>
          <w:ilvl w:val="0"/>
          <w:numId w:val="1016"/>
        </w:numPr>
      </w:pPr>
      <w:r>
        <w:t xml:space="preserve">Whether inventory growth is moderating after inventories increased to almost $3.0 billion at the end of Q2.</w:t>
      </w:r>
    </w:p>
    <w:p>
      <w:pPr>
        <w:pStyle w:val="Compact"/>
        <w:numPr>
          <w:ilvl w:val="0"/>
          <w:numId w:val="1016"/>
        </w:numPr>
      </w:pPr>
      <w:r>
        <w:t xml:space="preserve">Whether AI ramps require additional capital beyond the current plan.</w:t>
      </w:r>
    </w:p>
    <w:p>
      <w:pPr>
        <w:pStyle w:val="Compact"/>
        <w:numPr>
          <w:ilvl w:val="0"/>
          <w:numId w:val="1016"/>
        </w:numPr>
      </w:pPr>
      <w:r>
        <w:t xml:space="preserve">Full-year free-cash-flow conversion.</w:t>
      </w:r>
    </w:p>
    <w:p>
      <w:pPr>
        <w:pStyle w:val="Compact"/>
        <w:numPr>
          <w:ilvl w:val="0"/>
          <w:numId w:val="1016"/>
        </w:numPr>
      </w:pPr>
      <w:r>
        <w:t xml:space="preserve">Buyback activity and the M&amp;A pipeline.</w:t>
      </w:r>
    </w:p>
    <w:p>
      <w:pPr>
        <w:pStyle w:val="Compact"/>
        <w:numPr>
          <w:ilvl w:val="0"/>
          <w:numId w:val="1016"/>
        </w:numPr>
      </w:pPr>
      <w:r>
        <w:t xml:space="preserve">Whether higher growth is producing proportionate working-capital requirements.</w:t>
      </w:r>
    </w:p>
    <w:p>
      <w:pPr>
        <w:pStyle w:val="FirstParagraph"/>
      </w:pPr>
      <w:r>
        <w:t xml:space="preserve">Strong earnings combined with weak cash conversion would diminish the quality of the result.</w:t>
      </w:r>
    </w:p>
    <w:p>
      <w:r>
        <w:pict>
          <v:rect style="width:0;height:1.5pt" o:hralign="center" o:hrstd="t" o:hr="t"/>
        </w:pict>
      </w:r>
    </w:p>
    <w:bookmarkEnd w:id="25"/>
    <w:bookmarkStart w:id="26" w:name="stock-setup"/>
    <w:p>
      <w:pPr>
        <w:pStyle w:val="Heading2"/>
      </w:pPr>
      <w:r>
        <w:t xml:space="preserve">Stock setup</w:t>
      </w:r>
    </w:p>
    <w:p>
      <w:pPr>
        <w:pStyle w:val="FirstParagraph"/>
      </w:pPr>
      <w:r>
        <w:t xml:space="preserve">TEL closed at approximately</w:t>
      </w:r>
      <w:r>
        <w:t xml:space="preserve"> </w:t>
      </w:r>
      <w:r>
        <w:rPr>
          <w:b/>
          <w:bCs/>
        </w:rPr>
        <w:t xml:space="preserve">$209.05 on July 21</w:t>
      </w:r>
      <w:r>
        <w:t xml:space="preserve">, down roughly:</w:t>
      </w:r>
    </w:p>
    <w:p>
      <w:pPr>
        <w:pStyle w:val="Compact"/>
        <w:numPr>
          <w:ilvl w:val="0"/>
          <w:numId w:val="1017"/>
        </w:numPr>
      </w:pPr>
      <w:r>
        <w:rPr>
          <w:b/>
          <w:bCs/>
        </w:rPr>
        <w:t xml:space="preserve">10% from the beginning of 2026</w:t>
      </w:r>
      <w:r>
        <w:t xml:space="preserve">, and</w:t>
      </w:r>
    </w:p>
    <w:p>
      <w:pPr>
        <w:pStyle w:val="Compact"/>
        <w:numPr>
          <w:ilvl w:val="0"/>
          <w:numId w:val="1017"/>
        </w:numPr>
      </w:pPr>
      <w:r>
        <w:rPr>
          <w:b/>
          <w:bCs/>
        </w:rPr>
        <w:t xml:space="preserve">14% from its April 21 close immediately before the Q2 report</w:t>
      </w:r>
      <w:r>
        <w:t xml:space="preserve">.</w:t>
      </w:r>
    </w:p>
    <w:p>
      <w:pPr>
        <w:pStyle w:val="FirstParagraph"/>
      </w:pPr>
      <w:r>
        <w:t xml:space="preserve">The shares fell about 9% on the Q2 reporting day even though EPS beat slightly and Q3 guidance was modestly above the then-current Street forecast. That price action suggests investors are demanding more than an in-line quarter and broad optimistic commentary.</w:t>
      </w:r>
    </w:p>
    <w:p>
      <w:pPr>
        <w:pStyle w:val="BodyText"/>
      </w:pPr>
      <w:r>
        <w:t xml:space="preserve">The less-elevated share price provides a better setup than in April, but the market still appears likely to focus on the</w:t>
      </w:r>
      <w:r>
        <w:t xml:space="preserve"> </w:t>
      </w:r>
      <w:r>
        <w:rPr>
          <w:b/>
          <w:bCs/>
        </w:rPr>
        <w:t xml:space="preserve">rate and profitability of AI growth</w:t>
      </w:r>
      <w:r>
        <w:t xml:space="preserve">. Another near-consensus quarter without incremental guidance may not be enough to trigger a sustained re-rating.</w:t>
      </w:r>
    </w:p>
    <w:p>
      <w:r>
        <w:pict>
          <v:rect style="width:0;height:1.5pt" o:hralign="center" o:hrstd="t" o:hr="t"/>
        </w:pict>
      </w:r>
    </w:p>
    <w:bookmarkEnd w:id="26"/>
    <w:bookmarkStart w:id="30" w:name="potential-outcome-framework"/>
    <w:p>
      <w:pPr>
        <w:pStyle w:val="Heading2"/>
      </w:pPr>
      <w:r>
        <w:t xml:space="preserve">Potential outcome framework</w:t>
      </w:r>
    </w:p>
    <w:bookmarkStart w:id="27" w:name="bull-case"/>
    <w:p>
      <w:pPr>
        <w:pStyle w:val="Heading3"/>
      </w:pPr>
      <w:r>
        <w:t xml:space="preserve">Bull case</w:t>
      </w:r>
    </w:p>
    <w:p>
      <w:pPr>
        <w:pStyle w:val="Compact"/>
        <w:numPr>
          <w:ilvl w:val="0"/>
          <w:numId w:val="1018"/>
        </w:numPr>
      </w:pPr>
      <w:r>
        <w:t xml:space="preserve">Revenue above roughly</w:t>
      </w:r>
      <w:r>
        <w:t xml:space="preserve"> </w:t>
      </w:r>
      <w:r>
        <w:rPr>
          <w:b/>
          <w:bCs/>
        </w:rPr>
        <w:t xml:space="preserve">$5.05 billion</w:t>
      </w:r>
      <w:r>
        <w:t xml:space="preserve">.</w:t>
      </w:r>
    </w:p>
    <w:p>
      <w:pPr>
        <w:pStyle w:val="Compact"/>
        <w:numPr>
          <w:ilvl w:val="0"/>
          <w:numId w:val="1018"/>
        </w:numPr>
      </w:pPr>
      <w:r>
        <w:t xml:space="preserve">Adjusted EPS at or above approximately</w:t>
      </w:r>
      <w:r>
        <w:t xml:space="preserve"> </w:t>
      </w:r>
      <w:r>
        <w:rPr>
          <w:b/>
          <w:bCs/>
        </w:rPr>
        <w:t xml:space="preserve">$2.90</w:t>
      </w:r>
      <w:r>
        <w:t xml:space="preserve">.</w:t>
      </w:r>
    </w:p>
    <w:p>
      <w:pPr>
        <w:pStyle w:val="Compact"/>
        <w:numPr>
          <w:ilvl w:val="0"/>
          <w:numId w:val="1018"/>
        </w:numPr>
      </w:pPr>
      <w:r>
        <w:t xml:space="preserve">Adjusted margin around or above</w:t>
      </w:r>
      <w:r>
        <w:t xml:space="preserve"> </w:t>
      </w:r>
      <w:r>
        <w:rPr>
          <w:b/>
          <w:bCs/>
        </w:rPr>
        <w:t xml:space="preserve">22%</w:t>
      </w:r>
      <w:r>
        <w:t xml:space="preserve">.</w:t>
      </w:r>
    </w:p>
    <w:p>
      <w:pPr>
        <w:pStyle w:val="Compact"/>
        <w:numPr>
          <w:ilvl w:val="0"/>
          <w:numId w:val="1018"/>
        </w:numPr>
      </w:pPr>
      <w:r>
        <w:t xml:space="preserve">Clear sequential acceleration in DDN.</w:t>
      </w:r>
    </w:p>
    <w:p>
      <w:pPr>
        <w:pStyle w:val="Compact"/>
        <w:numPr>
          <w:ilvl w:val="0"/>
          <w:numId w:val="1018"/>
        </w:numPr>
      </w:pPr>
      <w:r>
        <w:t xml:space="preserve">AI-revenue outlook raised above approximately $2.4 billion.</w:t>
      </w:r>
    </w:p>
    <w:p>
      <w:pPr>
        <w:pStyle w:val="Compact"/>
        <w:numPr>
          <w:ilvl w:val="0"/>
          <w:numId w:val="1018"/>
        </w:numPr>
      </w:pPr>
      <w:r>
        <w:t xml:space="preserve">Orders remain near or above sales.</w:t>
      </w:r>
    </w:p>
    <w:p>
      <w:pPr>
        <w:pStyle w:val="Compact"/>
        <w:numPr>
          <w:ilvl w:val="0"/>
          <w:numId w:val="1018"/>
        </w:numPr>
      </w:pPr>
      <w:r>
        <w:t xml:space="preserve">Q4 guidance supports continued double-digit sales and EPS growth.</w:t>
      </w:r>
    </w:p>
    <w:p>
      <w:pPr>
        <w:pStyle w:val="FirstParagraph"/>
      </w:pPr>
      <w:r>
        <w:t xml:space="preserve">This would demonstrate that backlog is converting, inflation is manageable, and the long-term 6–8% growth framework may prove conservative.</w:t>
      </w:r>
    </w:p>
    <w:bookmarkEnd w:id="27"/>
    <w:bookmarkStart w:id="28" w:name="base-case"/>
    <w:p>
      <w:pPr>
        <w:pStyle w:val="Heading3"/>
      </w:pPr>
      <w:r>
        <w:t xml:space="preserve">Base case</w:t>
      </w:r>
    </w:p>
    <w:p>
      <w:pPr>
        <w:pStyle w:val="Compact"/>
        <w:numPr>
          <w:ilvl w:val="0"/>
          <w:numId w:val="1019"/>
        </w:numPr>
      </w:pPr>
      <w:r>
        <w:t xml:space="preserve">Revenue close to</w:t>
      </w:r>
      <w:r>
        <w:t xml:space="preserve"> </w:t>
      </w:r>
      <w:r>
        <w:rPr>
          <w:b/>
          <w:bCs/>
        </w:rPr>
        <w:t xml:space="preserve">$5.0 billion</w:t>
      </w:r>
      <w:r>
        <w:t xml:space="preserve">.</w:t>
      </w:r>
    </w:p>
    <w:p>
      <w:pPr>
        <w:pStyle w:val="Compact"/>
        <w:numPr>
          <w:ilvl w:val="0"/>
          <w:numId w:val="1019"/>
        </w:numPr>
      </w:pPr>
      <w:r>
        <w:t xml:space="preserve">Adjusted EPS of roughly</w:t>
      </w:r>
      <w:r>
        <w:t xml:space="preserve"> </w:t>
      </w:r>
      <m:oMath>
        <m:r>
          <m:t>2.83</m:t>
        </m:r>
        <m:r>
          <m:rPr>
            <m:sty m:val="p"/>
          </m:rPr>
          <m:t>–</m:t>
        </m:r>
      </m:oMath>
      <w:r>
        <w:rPr>
          <w:b/>
          <w:bCs/>
        </w:rPr>
        <w:t xml:space="preserve">2.87</w:t>
      </w:r>
      <w:r>
        <w:t xml:space="preserve">.</w:t>
      </w:r>
    </w:p>
    <w:p>
      <w:pPr>
        <w:pStyle w:val="Compact"/>
        <w:numPr>
          <w:ilvl w:val="0"/>
          <w:numId w:val="1019"/>
        </w:numPr>
      </w:pPr>
      <w:r>
        <w:t xml:space="preserve">Margin of approximately</w:t>
      </w:r>
      <w:r>
        <w:t xml:space="preserve"> </w:t>
      </w:r>
      <w:r>
        <w:rPr>
          <w:b/>
          <w:bCs/>
        </w:rPr>
        <w:t xml:space="preserve">21.7–21.9%</w:t>
      </w:r>
      <w:r>
        <w:t xml:space="preserve">.</w:t>
      </w:r>
    </w:p>
    <w:p>
      <w:pPr>
        <w:pStyle w:val="Compact"/>
        <w:numPr>
          <w:ilvl w:val="0"/>
          <w:numId w:val="1019"/>
        </w:numPr>
      </w:pPr>
      <w:r>
        <w:t xml:space="preserve">AI outlook maintained.</w:t>
      </w:r>
    </w:p>
    <w:p>
      <w:pPr>
        <w:pStyle w:val="Compact"/>
        <w:numPr>
          <w:ilvl w:val="0"/>
          <w:numId w:val="1019"/>
        </w:numPr>
      </w:pPr>
      <w:r>
        <w:t xml:space="preserve">Orders normalize but remain healthy.</w:t>
      </w:r>
    </w:p>
    <w:p>
      <w:pPr>
        <w:pStyle w:val="Compact"/>
        <w:numPr>
          <w:ilvl w:val="0"/>
          <w:numId w:val="1019"/>
        </w:numPr>
      </w:pPr>
      <w:r>
        <w:t xml:space="preserve">Q4 guidance broadly supports the existing annual framework.</w:t>
      </w:r>
    </w:p>
    <w:p>
      <w:pPr>
        <w:pStyle w:val="FirstParagraph"/>
      </w:pPr>
      <w:r>
        <w:t xml:space="preserve">This would be operationally solid but may generate a muted stock reaction unless management adds meaningful fiscal 2027 visibility.</w:t>
      </w:r>
    </w:p>
    <w:bookmarkEnd w:id="28"/>
    <w:bookmarkStart w:id="29" w:name="bear-case"/>
    <w:p>
      <w:pPr>
        <w:pStyle w:val="Heading3"/>
      </w:pPr>
      <w:r>
        <w:t xml:space="preserve">Bear case</w:t>
      </w:r>
    </w:p>
    <w:p>
      <w:pPr>
        <w:pStyle w:val="Compact"/>
        <w:numPr>
          <w:ilvl w:val="0"/>
          <w:numId w:val="1020"/>
        </w:numPr>
      </w:pPr>
      <w:r>
        <w:t xml:space="preserve">Revenue below approximately</w:t>
      </w:r>
      <w:r>
        <w:t xml:space="preserve"> </w:t>
      </w:r>
      <w:r>
        <w:rPr>
          <w:b/>
          <w:bCs/>
        </w:rPr>
        <w:t xml:space="preserve">$4.95 billion</w:t>
      </w:r>
      <w:r>
        <w:t xml:space="preserve">.</w:t>
      </w:r>
    </w:p>
    <w:p>
      <w:pPr>
        <w:pStyle w:val="Compact"/>
        <w:numPr>
          <w:ilvl w:val="0"/>
          <w:numId w:val="1020"/>
        </w:numPr>
      </w:pPr>
      <w:r>
        <w:t xml:space="preserve">Adjusted margin below roughly</w:t>
      </w:r>
      <w:r>
        <w:t xml:space="preserve"> </w:t>
      </w:r>
      <w:r>
        <w:rPr>
          <w:b/>
          <w:bCs/>
        </w:rPr>
        <w:t xml:space="preserve">21.5%</w:t>
      </w:r>
      <w:r>
        <w:t xml:space="preserve">.</w:t>
      </w:r>
    </w:p>
    <w:p>
      <w:pPr>
        <w:pStyle w:val="Compact"/>
        <w:numPr>
          <w:ilvl w:val="0"/>
          <w:numId w:val="1020"/>
        </w:numPr>
      </w:pPr>
      <w:r>
        <w:t xml:space="preserve">AI shipments delayed despite strong backlog.</w:t>
      </w:r>
    </w:p>
    <w:p>
      <w:pPr>
        <w:pStyle w:val="Compact"/>
        <w:numPr>
          <w:ilvl w:val="0"/>
          <w:numId w:val="1020"/>
        </w:numPr>
      </w:pPr>
      <w:r>
        <w:t xml:space="preserve">Orders fall materially below sales.</w:t>
      </w:r>
    </w:p>
    <w:p>
      <w:pPr>
        <w:pStyle w:val="Compact"/>
        <w:numPr>
          <w:ilvl w:val="0"/>
          <w:numId w:val="1020"/>
        </w:numPr>
      </w:pPr>
      <w:r>
        <w:t xml:space="preserve">Price-cost timing worsens.</w:t>
      </w:r>
    </w:p>
    <w:p>
      <w:pPr>
        <w:pStyle w:val="Compact"/>
        <w:numPr>
          <w:ilvl w:val="0"/>
          <w:numId w:val="1020"/>
        </w:numPr>
      </w:pPr>
      <w:r>
        <w:t xml:space="preserve">Auto or North American truck weakness spreads.</w:t>
      </w:r>
    </w:p>
    <w:p>
      <w:pPr>
        <w:pStyle w:val="Compact"/>
        <w:numPr>
          <w:ilvl w:val="0"/>
          <w:numId w:val="1020"/>
        </w:numPr>
      </w:pPr>
      <w:r>
        <w:t xml:space="preserve">Management reduces the AI outlook or issues cautious Q4 guidance.</w:t>
      </w:r>
    </w:p>
    <w:p>
      <w:pPr>
        <w:pStyle w:val="FirstParagraph"/>
      </w:pPr>
      <w:r>
        <w:t xml:space="preserve">The most damaging combination would be slowing orders plus weaker margins, as that would challenge both the growth and operating-leverage components of the thesis.</w:t>
      </w:r>
    </w:p>
    <w:p>
      <w:r>
        <w:pict>
          <v:rect style="width:0;height:1.5pt" o:hralign="center" o:hrstd="t" o:hr="t"/>
        </w:pict>
      </w:r>
    </w:p>
    <w:bookmarkEnd w:id="29"/>
    <w:bookmarkEnd w:id="30"/>
    <w:bookmarkStart w:id="31" w:name="bottom-line"/>
    <w:p>
      <w:pPr>
        <w:pStyle w:val="Heading2"/>
      </w:pPr>
      <w:r>
        <w:t xml:space="preserve">Bottom line</w:t>
      </w:r>
    </w:p>
    <w:p>
      <w:pPr>
        <w:pStyle w:val="FirstParagraph"/>
      </w:pPr>
      <w:r>
        <w:t xml:space="preserve">TEL’s fiscal Q3 numbers should be relatively easy to judge because consensus sits almost exactly on management’s guidance. The harder—and more important—judgment is whether the report validates the next leg of the story.</w:t>
      </w:r>
    </w:p>
    <w:p>
      <w:pPr>
        <w:pStyle w:val="BodyText"/>
      </w:pPr>
      <w:r>
        <w:t xml:space="preserve">The strongest evidence would be:</w:t>
      </w:r>
    </w:p>
    <w:p>
      <w:pPr>
        <w:pStyle w:val="Compact"/>
        <w:numPr>
          <w:ilvl w:val="0"/>
          <w:numId w:val="1021"/>
        </w:numPr>
      </w:pPr>
      <w:r>
        <w:rPr>
          <w:b/>
          <w:bCs/>
        </w:rPr>
        <w:t xml:space="preserve">Visible sequential acceleration in AI/DDN revenue.</w:t>
      </w:r>
    </w:p>
    <w:p>
      <w:pPr>
        <w:pStyle w:val="Compact"/>
        <w:numPr>
          <w:ilvl w:val="0"/>
          <w:numId w:val="1021"/>
        </w:numPr>
      </w:pPr>
      <w:r>
        <w:rPr>
          <w:b/>
          <w:bCs/>
        </w:rPr>
        <w:t xml:space="preserve">Orders and backlog that remain elevated without signs of double ordering.</w:t>
      </w:r>
    </w:p>
    <w:p>
      <w:pPr>
        <w:pStyle w:val="Compact"/>
        <w:numPr>
          <w:ilvl w:val="0"/>
          <w:numId w:val="1021"/>
        </w:numPr>
      </w:pPr>
      <w:r>
        <w:rPr>
          <w:b/>
          <w:bCs/>
        </w:rPr>
        <w:t xml:space="preserve">Adjusted margins near 22% despite inflation and ramp costs.</w:t>
      </w:r>
    </w:p>
    <w:p>
      <w:pPr>
        <w:pStyle w:val="Compact"/>
        <w:numPr>
          <w:ilvl w:val="0"/>
          <w:numId w:val="1021"/>
        </w:numPr>
      </w:pPr>
      <w:r>
        <w:rPr>
          <w:b/>
          <w:bCs/>
        </w:rPr>
        <w:t xml:space="preserve">Broad Industrial strength beyond AI.</w:t>
      </w:r>
    </w:p>
    <w:p>
      <w:pPr>
        <w:pStyle w:val="Compact"/>
        <w:numPr>
          <w:ilvl w:val="0"/>
          <w:numId w:val="1021"/>
        </w:numPr>
      </w:pPr>
      <w:r>
        <w:rPr>
          <w:b/>
          <w:bCs/>
        </w:rPr>
        <w:t xml:space="preserve">A constructive Q4 outlook with sustained double-digit EPS growth.</w:t>
      </w:r>
    </w:p>
    <w:p>
      <w:pPr>
        <w:pStyle w:val="FirstParagraph"/>
      </w:pPr>
      <w:r>
        <w:t xml:space="preserve">The quarter is therefore less about whether TEL earns $2.83 or $2.86 and more about whether management can show that its record backlog, aggressive capacity investment, and exposure to data and power infrastructure are translating into durable, cash-generative growth.</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2026-07-22T00:16:43Z</dcterms:created>
  <dcterms:modified xsi:type="dcterms:W3CDTF">2026-07-22T00:16:43Z</dcterms:modified>
</cp:coreProperties>
</file>

<file path=docProps/custom.xml><?xml version="1.0" encoding="utf-8"?>
<Properties xmlns="http://schemas.openxmlformats.org/officeDocument/2006/custom-properties" xmlns:vt="http://schemas.openxmlformats.org/officeDocument/2006/docPropsVTypes"/>
</file>