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aa363d49e1b3fc9a0eb9bffc4ad3e5981c3873"/>
    <w:p>
      <w:pPr>
        <w:pStyle w:val="Heading1"/>
      </w:pPr>
      <w:r>
        <w:t xml:space="preserve">TE Connectivity (NYSE: TEL) — FQ3 2026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stated event date is</w:t>
      </w:r>
      <w:r>
        <w:t xml:space="preserve"> </w:t>
      </w:r>
      <w:r>
        <w:rPr>
          <w:b/>
          <w:bCs/>
        </w:rPr>
        <w:t xml:space="preserve">Wednesday, July 22, 2026</w:t>
      </w:r>
      <w:r>
        <w:t xml:space="preserve">—which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TEL is scheduled to report fiscal third-quarter 2026 results before the U.S. market opens, followed by its earnings call.</w:t>
      </w:r>
    </w:p>
    <w:bookmarkStart w:id="9" w:name="Xae639596960189b35197bfcd0e2817c8fb878ad"/>
    <w:p>
      <w:pPr>
        <w:pStyle w:val="Heading2"/>
      </w:pPr>
      <w:r>
        <w:t xml:space="preserve">Investment view: execution against a high bar</w:t>
      </w:r>
    </w:p>
    <w:p>
      <w:pPr>
        <w:pStyle w:val="FirstParagraph"/>
      </w:pPr>
      <w:r>
        <w:t xml:space="preserve">TEL enters FQ3 with its growth narrative firmly centered on</w:t>
      </w:r>
      <w:r>
        <w:t xml:space="preserve"> </w:t>
      </w:r>
      <w:r>
        <w:rPr>
          <w:b/>
          <w:bCs/>
        </w:rPr>
        <w:t xml:space="preserve">AI/data-center connectivity, energy-grid investment, and improving commercial transportation</w:t>
      </w:r>
      <w:r>
        <w:t xml:space="preserve">, while automotive production remains the key cyclical offset. The company’s April outlook called for approximately</w:t>
      </w:r>
      <w:r>
        <w:t xml:space="preserve"> </w:t>
      </w:r>
      <m:oMath>
        <m:r>
          <m:t>5.0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2.83 of adjusted EPS</w:t>
      </w:r>
      <w:r>
        <w:t xml:space="preserve">—already implying double-digit growth. Current Street expectations are effectively aligned with that guide at</w:t>
      </w:r>
      <w:r>
        <w:t xml:space="preserve"> </w:t>
      </w:r>
      <w:r>
        <w:rPr>
          <w:b/>
          <w:bCs/>
        </w:rPr>
        <w:t xml:space="preserve">$5.0 billion of revenue, $2.84 adjusted EPS, and 21.9% adjusted operating margin</w:t>
      </w:r>
      <w:r>
        <w:t xml:space="preserve">.</w:t>
      </w:r>
    </w:p>
    <w:p>
      <w:pPr>
        <w:pStyle w:val="BodyText"/>
      </w:pPr>
      <w:r>
        <w:t xml:space="preserve">The central issue is therefore unlikely to be whether TEL can narrowly meet the quarter. Instead, investor reaction should hinge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AI-related demand and backlog remain strong enough to support an above-consensus second-half/FY26 trajectory;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margins hold near 22% despite resin, freight, and geopolitical cost pressures;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Transportation recovers sequentially as promised, particularly automotive content growth and commercial-transport demand;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Whether management’s FQ4/FY26 commentary validates the Investor Day framework of 6–8% through-cycle sales growth, 30%+ incremental operating-income conversion, and double-digit EPS growth.</w:t>
      </w:r>
    </w:p>
    <w:bookmarkEnd w:id="9"/>
    <w:bookmarkStart w:id="10" w:name="what-the-market-expects"/>
    <w:p>
      <w:pPr>
        <w:pStyle w:val="Heading2"/>
      </w:pPr>
      <w:r>
        <w:t xml:space="preserve">What the market expects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FQ3 2026 company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Street expectation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Year-over-year context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~$5.0B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~$5.0B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~10% reported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Above-market growth expected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~$2.83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~17%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Adjustment-heavy quarter expected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 explicitly guided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~21.9%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Roughly consistent with FQ2’s 21.7%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tax rate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~23%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Up from ~21% in FQ2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Free-cash-flow conversion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~100% for FY26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Capex remains elevated for AI programs</w:t>
            </w:r>
          </w:p>
        </w:tc>
      </w:tr>
    </w:tbl>
    <w:p>
      <w:pPr>
        <w:pStyle w:val="BodyText"/>
      </w:pPr>
      <w:r>
        <w:t xml:space="preserve">The low hurdle relative to guidance increases the importance of</w:t>
      </w:r>
      <w:r>
        <w:t xml:space="preserve"> </w:t>
      </w:r>
      <w:r>
        <w:rPr>
          <w:b/>
          <w:bCs/>
        </w:rPr>
        <w:t xml:space="preserve">quality of the beat</w:t>
      </w:r>
      <w:r>
        <w:t xml:space="preserve">: revenue composition, orders, incremental margins, and the magnitude of any guidance increase matter more than a few cents of EPS outperformance.</w:t>
      </w:r>
    </w:p>
    <w:bookmarkEnd w:id="10"/>
    <w:bookmarkStart w:id="14" w:name="why-the-setup-is-constructive"/>
    <w:p>
      <w:pPr>
        <w:pStyle w:val="Heading2"/>
      </w:pPr>
      <w:r>
        <w:t xml:space="preserve">Why the setup is constructive</w:t>
      </w:r>
    </w:p>
    <w:bookmarkStart w:id="11" w:name="X20267d6ff5e062d02110f5e371fbff044bc45f2"/>
    <w:p>
      <w:pPr>
        <w:pStyle w:val="Heading3"/>
      </w:pPr>
      <w:r>
        <w:t xml:space="preserve">1. AI/data-center connectivity is the primary upside lever</w:t>
      </w:r>
    </w:p>
    <w:p>
      <w:pPr>
        <w:pStyle w:val="FirstParagraph"/>
      </w:pPr>
      <w:r>
        <w:t xml:space="preserve">Digital Data Networks (DDN) is TEL’s clearest growth engine. In FQ2, DDN revenue grew</w:t>
      </w:r>
      <w:r>
        <w:t xml:space="preserve"> </w:t>
      </w:r>
      <w:r>
        <w:rPr>
          <w:b/>
          <w:bCs/>
        </w:rPr>
        <w:t xml:space="preserve">48% reported and 46% organically</w:t>
      </w:r>
      <w:r>
        <w:t xml:space="preserve">, driven by AI and cloud applications. More importantly, DDN orders increased by more than</w:t>
      </w:r>
      <w:r>
        <w:t xml:space="preserve"> </w:t>
      </w:r>
      <w:r>
        <w:rPr>
          <w:b/>
          <w:bCs/>
        </w:rPr>
        <w:t xml:space="preserve">60% year over year</w:t>
      </w:r>
      <w:r>
        <w:t xml:space="preserve">, and management said that first-half DDN orders reached roughly</w:t>
      </w:r>
      <w:r>
        <w:t xml:space="preserve"> </w:t>
      </w:r>
      <w:r>
        <w:rPr>
          <w:b/>
          <w:bCs/>
        </w:rPr>
        <w:t xml:space="preserve">$2 billion</w:t>
      </w:r>
      <w:r>
        <w:t xml:space="preserve">.</w:t>
      </w:r>
    </w:p>
    <w:p>
      <w:pPr>
        <w:pStyle w:val="BodyText"/>
      </w:pPr>
      <w:r>
        <w:t xml:space="preserve">At the April call, TEL raised its FY26 AI revenue outlook by</w:t>
      </w:r>
      <w:r>
        <w:t xml:space="preserve"> </w:t>
      </w:r>
      <m:oMath>
        <m:r>
          <m:t>150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f</m:t>
        </m:r>
        <m:r>
          <m:t>u</m:t>
        </m:r>
        <m:r>
          <m:t>l</m:t>
        </m:r>
        <m:r>
          <m:t>l</m:t>
        </m:r>
        <m:r>
          <m:t>i</m:t>
        </m:r>
        <m:r>
          <m:t>n</m:t>
        </m:r>
        <m:r>
          <m:t>c</m:t>
        </m:r>
        <m:r>
          <m:t>r</m:t>
        </m:r>
        <m:r>
          <m:t>e</m:t>
        </m:r>
        <m:r>
          <m:t>a</m:t>
        </m:r>
        <m:r>
          <m:t>s</m:t>
        </m:r>
        <m:r>
          <m:t>e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s</m:t>
        </m:r>
        <m:r>
          <m:t>e</m:t>
        </m:r>
        <m:r>
          <m:t>c</m:t>
        </m:r>
        <m:r>
          <m:t>o</m:t>
        </m:r>
        <m:r>
          <m:t>n</m:t>
        </m:r>
        <m:r>
          <m:t>d</m:t>
        </m:r>
        <m:r>
          <m:t>h</m:t>
        </m:r>
        <m:r>
          <m:t>a</m:t>
        </m:r>
        <m:r>
          <m:t>l</m:t>
        </m:r>
        <m:r>
          <m:t>f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d</m:t>
        </m:r>
        <m:r>
          <m:t>i</m:t>
        </m:r>
        <m:r>
          <m:t>c</m:t>
        </m:r>
        <m:r>
          <m:t>a</m:t>
        </m:r>
        <m:r>
          <m:t>t</m:t>
        </m:r>
        <m:r>
          <m:t>e</m:t>
        </m:r>
        <m:r>
          <m:t>d</m:t>
        </m:r>
        <m:r>
          <m:t>A</m:t>
        </m:r>
        <m:r>
          <m:t>I</m:t>
        </m:r>
        <m:r>
          <m:rPr>
            <m:sty m:val="p"/>
          </m:rPr>
          <m:t>−</m:t>
        </m:r>
        <m:r>
          <m:t>r</m:t>
        </m:r>
        <m:r>
          <m:t>e</m:t>
        </m:r>
        <m:r>
          <m:t>l</m:t>
        </m:r>
        <m:r>
          <m:t>a</m:t>
        </m:r>
        <m:r>
          <m:t>t</m:t>
        </m:r>
        <m:r>
          <m:t>e</m:t>
        </m:r>
        <m:r>
          <m:t>d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c</m:t>
        </m:r>
        <m:r>
          <m:t>o</m:t>
        </m:r>
        <m:r>
          <m:t>u</m:t>
        </m:r>
        <m:r>
          <m:t>l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a</m:t>
        </m:r>
        <m:r>
          <m:t>c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2.4 billion in FY26</w:t>
      </w:r>
      <w:r>
        <w:t xml:space="preserve">, versus about $1.4 billion previously, reflecting both program ramps and new wins.</w:t>
      </w:r>
    </w:p>
    <w:p>
      <w:pPr>
        <w:pStyle w:val="BodyText"/>
      </w:pPr>
      <w:r>
        <w:t xml:space="preserve">For FQ3, investors should focus on:</w:t>
      </w:r>
    </w:p>
    <w:p>
      <w:pPr>
        <w:pStyle w:val="Compact"/>
        <w:numPr>
          <w:ilvl w:val="0"/>
          <w:numId w:val="1002"/>
        </w:numPr>
      </w:pPr>
      <w:r>
        <w:t xml:space="preserve">Whether the planned second-half AI ramp has begun as expected;</w:t>
      </w:r>
    </w:p>
    <w:p>
      <w:pPr>
        <w:pStyle w:val="Compact"/>
        <w:numPr>
          <w:ilvl w:val="0"/>
          <w:numId w:val="1002"/>
        </w:numPr>
      </w:pPr>
      <w:r>
        <w:t xml:space="preserve">DDN growth versus the FQ2 46% organic baseline;</w:t>
      </w:r>
    </w:p>
    <w:p>
      <w:pPr>
        <w:pStyle w:val="Compact"/>
        <w:numPr>
          <w:ilvl w:val="0"/>
          <w:numId w:val="1002"/>
        </w:numPr>
      </w:pPr>
      <w:r>
        <w:t xml:space="preserve">Orders, backlog, and book-to-bill—not merely reported revenue;</w:t>
      </w:r>
    </w:p>
    <w:p>
      <w:pPr>
        <w:pStyle w:val="Compact"/>
        <w:numPr>
          <w:ilvl w:val="0"/>
          <w:numId w:val="1002"/>
        </w:numPr>
      </w:pPr>
      <w:r>
        <w:t xml:space="preserve">Any updates on customer demand timing, capacity commitments, or supply constraints; and</w:t>
      </w:r>
    </w:p>
    <w:p>
      <w:pPr>
        <w:pStyle w:val="Compact"/>
        <w:numPr>
          <w:ilvl w:val="0"/>
          <w:numId w:val="1002"/>
        </w:numPr>
      </w:pPr>
      <w:r>
        <w:t xml:space="preserve">The durability of copper interconnect content alongside TEL’s developing passive-optical portfolio.</w:t>
      </w:r>
    </w:p>
    <w:p>
      <w:pPr>
        <w:pStyle w:val="FirstParagraph"/>
      </w:pPr>
      <w:r>
        <w:t xml:space="preserve">The strategic point is that TEL sees AI connectivity as a</w:t>
      </w:r>
      <w:r>
        <w:t xml:space="preserve"> </w:t>
      </w:r>
      <w:r>
        <w:rPr>
          <w:b/>
          <w:bCs/>
        </w:rPr>
        <w:t xml:space="preserve">data-and-power</w:t>
      </w:r>
      <w:r>
        <w:t xml:space="preserve"> </w:t>
      </w:r>
      <w:r>
        <w:t xml:space="preserve">opportunity. Management has argued that copper remains the core in-rack technology for cost, power, and reliability reasons, while optics becomes increasingly additive—especially in scale-out architectures. A reiteration of that view, alongside continued design-win momentum, would reinforce the longer-duration growth case.</w:t>
      </w:r>
    </w:p>
    <w:bookmarkEnd w:id="11"/>
    <w:bookmarkStart w:id="12" w:name="X5132ea4e3dec5b65b15213541224a5f6f18e6b7"/>
    <w:p>
      <w:pPr>
        <w:pStyle w:val="Heading3"/>
      </w:pPr>
      <w:r>
        <w:t xml:space="preserve">2. Industrial growth is broadening beyond AI</w:t>
      </w:r>
    </w:p>
    <w:p>
      <w:pPr>
        <w:pStyle w:val="FirstParagraph"/>
      </w:pPr>
      <w:r>
        <w:t xml:space="preserve">The market may be focused on DDN, but the broader Industrial Solutions portfolio is increasingly supportive: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Energy:</w:t>
      </w:r>
      <w:r>
        <w:t xml:space="preserve"> </w:t>
      </w:r>
      <w:r>
        <w:t xml:space="preserve">FQ2 organic sales grew</w:t>
      </w:r>
      <w:r>
        <w:t xml:space="preserve"> </w:t>
      </w:r>
      <w:r>
        <w:rPr>
          <w:b/>
          <w:bCs/>
        </w:rPr>
        <w:t xml:space="preserve">11%</w:t>
      </w:r>
      <w:r>
        <w:t xml:space="preserve">, supported by grid hardening, data-center power infrastructure, and clean-energy applications. TEL views utility/grid hardening as roughly 60%–two-thirds of the energy business and expects double-digit growth to persist, though clean-energy demand may be more uneven.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Automation &amp; Connected Living:</w:t>
      </w:r>
      <w:r>
        <w:t xml:space="preserve"> </w:t>
      </w:r>
      <w:r>
        <w:t xml:space="preserve">FQ2 organic sales rose</w:t>
      </w:r>
      <w:r>
        <w:t xml:space="preserve"> </w:t>
      </w:r>
      <w:r>
        <w:rPr>
          <w:b/>
          <w:bCs/>
        </w:rPr>
        <w:t xml:space="preserve">8%</w:t>
      </w:r>
      <w:r>
        <w:t xml:space="preserve">, with management citing growth across all regions and a gradual improvement in general industrial/factory-automation demand.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Aerospace, Defense &amp; Marine:</w:t>
      </w:r>
      <w:r>
        <w:t xml:space="preserve"> </w:t>
      </w:r>
      <w:r>
        <w:t xml:space="preserve">Organic growth was</w:t>
      </w:r>
      <w:r>
        <w:t xml:space="preserve"> </w:t>
      </w:r>
      <w:r>
        <w:rPr>
          <w:b/>
          <w:bCs/>
        </w:rPr>
        <w:t xml:space="preserve">5%</w:t>
      </w:r>
      <w:r>
        <w:t xml:space="preserve"> </w:t>
      </w:r>
      <w:r>
        <w:t xml:space="preserve">in FQ2, aided by commercial aerospace and defense demand.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Medical:</w:t>
      </w:r>
      <w:r>
        <w:t xml:space="preserve"> </w:t>
      </w:r>
      <w:r>
        <w:t xml:space="preserve">Still the laggard, declining</w:t>
      </w:r>
      <w:r>
        <w:t xml:space="preserve"> </w:t>
      </w:r>
      <w:r>
        <w:rPr>
          <w:b/>
          <w:bCs/>
        </w:rPr>
        <w:t xml:space="preserve">3.5% organically</w:t>
      </w:r>
      <w:r>
        <w:t xml:space="preserve"> </w:t>
      </w:r>
      <w:r>
        <w:t xml:space="preserve">in FQ2 because of a product-line exit. A stabilization signal would improve the breadth of the Industrial story.</w:t>
      </w:r>
    </w:p>
    <w:p>
      <w:pPr>
        <w:pStyle w:val="FirstParagraph"/>
      </w:pPr>
      <w:r>
        <w:t xml:space="preserve">Industrial segment margins will also matter. FQ2 adjusted operating margin reached</w:t>
      </w:r>
      <w:r>
        <w:t xml:space="preserve"> </w:t>
      </w:r>
      <w:r>
        <w:rPr>
          <w:b/>
          <w:bCs/>
        </w:rPr>
        <w:t xml:space="preserve">21.8%</w:t>
      </w:r>
      <w:r>
        <w:t xml:space="preserve">, up 260 bps year over year. Sustaining margins near that level while funding high-growth program ramps would be a favorable signal for TEL’s 30%+ incremental-margin target.</w:t>
      </w:r>
    </w:p>
    <w:bookmarkEnd w:id="12"/>
    <w:bookmarkStart w:id="13" w:name="Xcc6c154b32ffcd8116cad21b40b3434816f61a5"/>
    <w:p>
      <w:pPr>
        <w:pStyle w:val="Heading3"/>
      </w:pPr>
      <w:r>
        <w:t xml:space="preserve">3. Transportation needs to deliver sequential improvement</w:t>
      </w:r>
    </w:p>
    <w:p>
      <w:pPr>
        <w:pStyle w:val="FirstParagraph"/>
      </w:pPr>
      <w:r>
        <w:t xml:space="preserve">Transportation was softer organically in FQ2, with segment sales down</w:t>
      </w:r>
      <w:r>
        <w:t xml:space="preserve"> </w:t>
      </w:r>
      <w:r>
        <w:rPr>
          <w:b/>
          <w:bCs/>
        </w:rPr>
        <w:t xml:space="preserve">0.5% organically</w:t>
      </w:r>
      <w:r>
        <w:t xml:space="preserve">, but TEL expects both Transportation and Industrial to grow sequentially in FQ3.</w:t>
      </w:r>
    </w:p>
    <w:p>
      <w:pPr>
        <w:pStyle w:val="BodyText"/>
      </w:pPr>
      <w:r>
        <w:t xml:space="preserve">The split within Transportation is important: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Automotive:</w:t>
      </w:r>
      <w:r>
        <w:t xml:space="preserve"> </w:t>
      </w:r>
      <w:r>
        <w:t xml:space="preserve">FQ2 organic sales declined</w:t>
      </w:r>
      <w:r>
        <w:t xml:space="preserve"> </w:t>
      </w:r>
      <w:r>
        <w:rPr>
          <w:b/>
          <w:bCs/>
        </w:rPr>
        <w:t xml:space="preserve">3.8%</w:t>
      </w:r>
      <w:r>
        <w:t xml:space="preserve">, as lower global vehicle production outweighed content gains. Management continues to expect automotive content growth of</w:t>
      </w:r>
      <w:r>
        <w:t xml:space="preserve"> </w:t>
      </w:r>
      <w:r>
        <w:rPr>
          <w:b/>
          <w:bCs/>
        </w:rPr>
        <w:t xml:space="preserve">4%–6% above production</w:t>
      </w:r>
      <w:r>
        <w:t xml:space="preserve"> </w:t>
      </w:r>
      <w:r>
        <w:t xml:space="preserve">for FY26, despite an industry production outlook of roughly 88–89 million units and a relatively weaker North American environment.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Commercial transportation:</w:t>
      </w:r>
      <w:r>
        <w:t xml:space="preserve"> </w:t>
      </w:r>
      <w:r>
        <w:t xml:space="preserve">FQ2 organic revenue grew</w:t>
      </w:r>
      <w:r>
        <w:t xml:space="preserve"> </w:t>
      </w:r>
      <w:r>
        <w:rPr>
          <w:b/>
          <w:bCs/>
        </w:rPr>
        <w:t xml:space="preserve">17.1%</w:t>
      </w:r>
      <w:r>
        <w:t xml:space="preserve">, reflecting improvement in Europe and Asia and stabilization in North America. This is an important positive swing factor.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Sensors:</w:t>
      </w:r>
      <w:r>
        <w:t xml:space="preserve"> </w:t>
      </w:r>
      <w:r>
        <w:t xml:space="preserve">FQ2 organic sales declined</w:t>
      </w:r>
      <w:r>
        <w:t xml:space="preserve"> </w:t>
      </w:r>
      <w:r>
        <w:rPr>
          <w:b/>
          <w:bCs/>
        </w:rPr>
        <w:t xml:space="preserve">3.0%</w:t>
      </w:r>
      <w:r>
        <w:t xml:space="preserve">, principally from transportation applications.</w:t>
      </w:r>
    </w:p>
    <w:p>
      <w:pPr>
        <w:pStyle w:val="FirstParagraph"/>
      </w:pPr>
      <w:r>
        <w:t xml:space="preserve">For investors, the relevant question is not whether auto production improves materially—it likely will not—but whether TEL demonstrates</w:t>
      </w:r>
      <w:r>
        <w:t xml:space="preserve"> </w:t>
      </w:r>
      <w:r>
        <w:rPr>
          <w:b/>
          <w:bCs/>
        </w:rPr>
        <w:t xml:space="preserve">content-led outgrowth</w:t>
      </w:r>
      <w:r>
        <w:t xml:space="preserve"> </w:t>
      </w:r>
      <w:r>
        <w:t xml:space="preserve">in automotive and continued share/content gains in commercial vehicles. Management has highlighted rising connectivity content in vehicle data architectures, low-voltage electronification, and high-voltage electrified powertrains as the pillars of its 4%–6% above-market auto growth algorithm.</w:t>
      </w:r>
    </w:p>
    <w:bookmarkEnd w:id="13"/>
    <w:bookmarkEnd w:id="14"/>
    <w:bookmarkStart w:id="15" w:name="Xee712ade3d8e4f88eb7d2866008724adbf4ba2a"/>
    <w:p>
      <w:pPr>
        <w:pStyle w:val="Heading2"/>
      </w:pPr>
      <w:r>
        <w:t xml:space="preserve">The principal debate: can margins stay resilient?</w:t>
      </w:r>
    </w:p>
    <w:p>
      <w:pPr>
        <w:pStyle w:val="FirstParagraph"/>
      </w:pPr>
      <w:r>
        <w:t xml:space="preserve">TEL delivered a</w:t>
      </w:r>
      <w:r>
        <w:t xml:space="preserve"> </w:t>
      </w:r>
      <w:r>
        <w:rPr>
          <w:b/>
          <w:bCs/>
        </w:rPr>
        <w:t xml:space="preserve">21.7% adjusted operating margin</w:t>
      </w:r>
      <w:r>
        <w:t xml:space="preserve"> </w:t>
      </w:r>
      <w:r>
        <w:t xml:space="preserve">in FQ2, with both Transportation and Industrial operating near 22%. The FQ3 consensus margin of</w:t>
      </w:r>
      <w:r>
        <w:t xml:space="preserve"> </w:t>
      </w:r>
      <w:r>
        <w:rPr>
          <w:b/>
          <w:bCs/>
        </w:rPr>
        <w:t xml:space="preserve">21.9%</w:t>
      </w:r>
      <w:r>
        <w:t xml:space="preserve"> </w:t>
      </w:r>
      <w:r>
        <w:t xml:space="preserve">assumes that this performance is sustainable.</w:t>
      </w:r>
    </w:p>
    <w:p>
      <w:pPr>
        <w:pStyle w:val="BodyText"/>
      </w:pPr>
      <w:r>
        <w:t xml:space="preserve">The risks are visible:</w:t>
      </w:r>
    </w:p>
    <w:p>
      <w:pPr>
        <w:pStyle w:val="Compact"/>
        <w:numPr>
          <w:ilvl w:val="0"/>
          <w:numId w:val="1005"/>
        </w:numPr>
      </w:pPr>
      <w:r>
        <w:t xml:space="preserve">Higher oil-derived resin costs;</w:t>
      </w:r>
    </w:p>
    <w:p>
      <w:pPr>
        <w:pStyle w:val="Compact"/>
        <w:numPr>
          <w:ilvl w:val="0"/>
          <w:numId w:val="1005"/>
        </w:numPr>
      </w:pPr>
      <w:r>
        <w:t xml:space="preserve">Freight and logistics inflation;</w:t>
      </w:r>
    </w:p>
    <w:p>
      <w:pPr>
        <w:pStyle w:val="Compact"/>
        <w:numPr>
          <w:ilvl w:val="0"/>
          <w:numId w:val="1005"/>
        </w:numPr>
      </w:pPr>
      <w:r>
        <w:t xml:space="preserve">Commodity exposure, including copper and precious metals;</w:t>
      </w:r>
    </w:p>
    <w:p>
      <w:pPr>
        <w:pStyle w:val="Compact"/>
        <w:numPr>
          <w:ilvl w:val="0"/>
          <w:numId w:val="1005"/>
        </w:numPr>
      </w:pPr>
      <w:r>
        <w:t xml:space="preserve">The lag between input-cost inflation and customer pricing recovery;</w:t>
      </w:r>
    </w:p>
    <w:p>
      <w:pPr>
        <w:pStyle w:val="Compact"/>
        <w:numPr>
          <w:ilvl w:val="0"/>
          <w:numId w:val="1005"/>
        </w:numPr>
      </w:pPr>
      <w:r>
        <w:t xml:space="preserve">Investments and startup costs associated with rapidly scaling AI programs; and</w:t>
      </w:r>
    </w:p>
    <w:p>
      <w:pPr>
        <w:pStyle w:val="Compact"/>
        <w:numPr>
          <w:ilvl w:val="0"/>
          <w:numId w:val="1005"/>
        </w:numPr>
      </w:pPr>
      <w:r>
        <w:t xml:space="preserve">Potentially unfavorable mix if lower-margin or newly ramping programs grow faster.</w:t>
      </w:r>
    </w:p>
    <w:p>
      <w:pPr>
        <w:pStyle w:val="FirstParagraph"/>
      </w:pPr>
      <w:r>
        <w:t xml:space="preserve">Management’s response has been consistent: pricing, productivity, factory-footprint optimization, localized manufacturing, and targeted logistics changes. It has maintained a 30%+ incremental operating-income conversion framework. An FQ3 margin result around or above 21.9%, coupled with intact incremental-margin commentary, would support confidence that TEL can invest for AI growth without sacrificing its earnings model.</w:t>
      </w:r>
    </w:p>
    <w:bookmarkEnd w:id="15"/>
    <w:bookmarkStart w:id="16" w:name="X5ac14f284794df01eaffa4e6bd460ece6f8a5fd"/>
    <w:p>
      <w:pPr>
        <w:pStyle w:val="Heading2"/>
      </w:pPr>
      <w:r>
        <w:t xml:space="preserve">Cash flow and capital deployment: a secondary but meaningful watch item</w:t>
      </w:r>
    </w:p>
    <w:p>
      <w:pPr>
        <w:pStyle w:val="FirstParagraph"/>
      </w:pPr>
      <w:r>
        <w:t xml:space="preserve">TEL generated</w:t>
      </w:r>
      <w:r>
        <w:t xml:space="preserve"> </w:t>
      </w:r>
      <w:r>
        <w:rPr>
          <w:b/>
          <w:bCs/>
        </w:rPr>
        <w:t xml:space="preserve">$1.3 billion of free cash flow</w:t>
      </w:r>
      <w:r>
        <w:t xml:space="preserve"> </w:t>
      </w:r>
      <w:r>
        <w:t xml:space="preserve">in the first half of FY26 and continues to target approximately</w:t>
      </w:r>
      <w:r>
        <w:t xml:space="preserve"> </w:t>
      </w:r>
      <w:r>
        <w:rPr>
          <w:b/>
          <w:bCs/>
        </w:rPr>
        <w:t xml:space="preserve">100% free-cash-flow conversion</w:t>
      </w:r>
      <w:r>
        <w:t xml:space="preserve"> </w:t>
      </w:r>
      <w:r>
        <w:t xml:space="preserve">for the full year. Capex is expected to run at roughly</w:t>
      </w:r>
      <w:r>
        <w:t xml:space="preserve"> </w:t>
      </w:r>
      <w:r>
        <w:rPr>
          <w:b/>
          <w:bCs/>
        </w:rPr>
        <w:t xml:space="preserve">6% of sales</w:t>
      </w:r>
      <w:r>
        <w:t xml:space="preserve">, elevated largely because of capacity investments tied to awarded AI programs.</w:t>
      </w:r>
    </w:p>
    <w:p>
      <w:pPr>
        <w:pStyle w:val="BodyText"/>
      </w:pPr>
      <w:r>
        <w:t xml:space="preserve">The company has meaningful balance-sheet flexibility:</w:t>
      </w:r>
    </w:p>
    <w:p>
      <w:pPr>
        <w:pStyle w:val="Compact"/>
        <w:numPr>
          <w:ilvl w:val="0"/>
          <w:numId w:val="1006"/>
        </w:numPr>
      </w:pPr>
      <w:r>
        <w:t xml:space="preserve">Total debt was about</w:t>
      </w:r>
      <w:r>
        <w:t xml:space="preserve"> </w:t>
      </w:r>
      <w:r>
        <w:rPr>
          <w:b/>
          <w:bCs/>
        </w:rPr>
        <w:t xml:space="preserve">$5.7 billion</w:t>
      </w:r>
      <w:r>
        <w:t xml:space="preserve"> </w:t>
      </w:r>
      <w:r>
        <w:t xml:space="preserve">at the end of FQ2;</w:t>
      </w:r>
    </w:p>
    <w:p>
      <w:pPr>
        <w:pStyle w:val="Compact"/>
        <w:numPr>
          <w:ilvl w:val="0"/>
          <w:numId w:val="1006"/>
        </w:numPr>
      </w:pPr>
      <w:r>
        <w:t xml:space="preserve">Cash was about</w:t>
      </w:r>
      <w:r>
        <w:t xml:space="preserve"> </w:t>
      </w:r>
      <w:r>
        <w:rPr>
          <w:b/>
          <w:bCs/>
        </w:rPr>
        <w:t xml:space="preserve">$1.1 billion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TEL refinanced into a new</w:t>
      </w:r>
      <w:r>
        <w:t xml:space="preserve"> </w:t>
      </w:r>
      <w:r>
        <w:rPr>
          <w:b/>
          <w:bCs/>
        </w:rPr>
        <w:t xml:space="preserve">$3.0 billion revolving credit facility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It had</w:t>
      </w:r>
      <w:r>
        <w:t xml:space="preserve"> </w:t>
      </w:r>
      <w:r>
        <w:rPr>
          <w:b/>
          <w:bCs/>
        </w:rPr>
        <w:t xml:space="preserve">$3.6 billion</w:t>
      </w:r>
      <w:r>
        <w:t xml:space="preserve"> </w:t>
      </w:r>
      <w:r>
        <w:t xml:space="preserve">remaining under its repurchase authorization as of March 27; and</w:t>
      </w:r>
    </w:p>
    <w:p>
      <w:pPr>
        <w:pStyle w:val="Compact"/>
        <w:numPr>
          <w:ilvl w:val="0"/>
          <w:numId w:val="1006"/>
        </w:numPr>
      </w:pPr>
      <w:r>
        <w:t xml:space="preserve">Management has reiterated a capital-allocation framework that prioritizes dividends, organic investment, value-creating bolt-on M&amp;A, and repurchases.</w:t>
      </w:r>
    </w:p>
    <w:p>
      <w:pPr>
        <w:pStyle w:val="FirstParagraph"/>
      </w:pPr>
      <w:r>
        <w:t xml:space="preserve">Investors should listen for any commentary on additional DDN/AI capacity, the pace of buybacks, and potential acquisitions in optical connectivity, energy, or other adjacencies.</w:t>
      </w:r>
    </w:p>
    <w:bookmarkEnd w:id="16"/>
    <w:bookmarkStart w:id="19" w:name="key-fq3-scorecard"/>
    <w:p>
      <w:pPr>
        <w:pStyle w:val="Heading2"/>
      </w:pPr>
      <w:r>
        <w:t xml:space="preserve">Key FQ3 scorecard</w:t>
      </w:r>
    </w:p>
    <w:bookmarkStart w:id="17" w:name="bullish-read-through"/>
    <w:p>
      <w:pPr>
        <w:pStyle w:val="Heading3"/>
      </w:pPr>
      <w:r>
        <w:t xml:space="preserve">Bullish read-through</w:t>
      </w:r>
    </w:p>
    <w:p>
      <w:pPr>
        <w:pStyle w:val="Compact"/>
        <w:numPr>
          <w:ilvl w:val="0"/>
          <w:numId w:val="1007"/>
        </w:numPr>
      </w:pPr>
      <w:r>
        <w:t xml:space="preserve">Revenue and adjusted EPS above guide, with an upside guide or particularly strong FQ4 setup;</w:t>
      </w:r>
    </w:p>
    <w:p>
      <w:pPr>
        <w:pStyle w:val="Compact"/>
        <w:numPr>
          <w:ilvl w:val="0"/>
          <w:numId w:val="1007"/>
        </w:numPr>
      </w:pPr>
      <w:r>
        <w:t xml:space="preserve">DDN growth and orders remain exceptionally strong;</w:t>
      </w:r>
    </w:p>
    <w:p>
      <w:pPr>
        <w:pStyle w:val="Compact"/>
        <w:numPr>
          <w:ilvl w:val="0"/>
          <w:numId w:val="1007"/>
        </w:numPr>
      </w:pPr>
      <w:r>
        <w:t xml:space="preserve">AI revenue ramp occurs on schedule, with further upside to the ~$2.4B FY26 AI-revenue view;</w:t>
      </w:r>
    </w:p>
    <w:p>
      <w:pPr>
        <w:pStyle w:val="Compact"/>
        <w:numPr>
          <w:ilvl w:val="0"/>
          <w:numId w:val="1007"/>
        </w:numPr>
      </w:pPr>
      <w:r>
        <w:t xml:space="preserve">Book-to-bill remains above 1.0 and order strength broadens beyond DDN;</w:t>
      </w:r>
    </w:p>
    <w:p>
      <w:pPr>
        <w:pStyle w:val="Compact"/>
        <w:numPr>
          <w:ilvl w:val="0"/>
          <w:numId w:val="1007"/>
        </w:numPr>
      </w:pPr>
      <w:r>
        <w:t xml:space="preserve">Industrial margin remains near or above 22%;</w:t>
      </w:r>
    </w:p>
    <w:p>
      <w:pPr>
        <w:pStyle w:val="Compact"/>
        <w:numPr>
          <w:ilvl w:val="0"/>
          <w:numId w:val="1007"/>
        </w:numPr>
      </w:pPr>
      <w:r>
        <w:t xml:space="preserve">Transportation turns sequentially higher, with commercial transportation remaining robust;</w:t>
      </w:r>
    </w:p>
    <w:p>
      <w:pPr>
        <w:pStyle w:val="Compact"/>
        <w:numPr>
          <w:ilvl w:val="0"/>
          <w:numId w:val="1007"/>
        </w:numPr>
      </w:pPr>
      <w:r>
        <w:t xml:space="preserve">Automotive content outgrowth remains within the 4%–6% FY26 target;</w:t>
      </w:r>
    </w:p>
    <w:p>
      <w:pPr>
        <w:pStyle w:val="Compact"/>
        <w:numPr>
          <w:ilvl w:val="0"/>
          <w:numId w:val="1007"/>
        </w:numPr>
      </w:pPr>
      <w:r>
        <w:t xml:space="preserve">Full-year FCF conversion and 6% capex framework are maintained.</w:t>
      </w:r>
    </w:p>
    <w:bookmarkEnd w:id="17"/>
    <w:bookmarkStart w:id="18" w:name="bearish-read-through"/>
    <w:p>
      <w:pPr>
        <w:pStyle w:val="Heading3"/>
      </w:pPr>
      <w:r>
        <w:t xml:space="preserve">Bearish read-through</w:t>
      </w:r>
    </w:p>
    <w:p>
      <w:pPr>
        <w:pStyle w:val="Compact"/>
        <w:numPr>
          <w:ilvl w:val="0"/>
          <w:numId w:val="1008"/>
        </w:numPr>
      </w:pPr>
      <w:r>
        <w:t xml:space="preserve">AI demand remains healthy but shipments or revenue are deferred, creating questions around backlog conversion;</w:t>
      </w:r>
    </w:p>
    <w:p>
      <w:pPr>
        <w:pStyle w:val="Compact"/>
        <w:numPr>
          <w:ilvl w:val="0"/>
          <w:numId w:val="1008"/>
        </w:numPr>
      </w:pPr>
      <w:r>
        <w:t xml:space="preserve">DDN growth slows materially or orders normalize faster than expected;</w:t>
      </w:r>
    </w:p>
    <w:p>
      <w:pPr>
        <w:pStyle w:val="Compact"/>
        <w:numPr>
          <w:ilvl w:val="0"/>
          <w:numId w:val="1008"/>
        </w:numPr>
      </w:pPr>
      <w:r>
        <w:t xml:space="preserve">Margin falls below expectations because of ramp costs, mix, freight, or resin inflation;</w:t>
      </w:r>
    </w:p>
    <w:p>
      <w:pPr>
        <w:pStyle w:val="Compact"/>
        <w:numPr>
          <w:ilvl w:val="0"/>
          <w:numId w:val="1008"/>
        </w:numPr>
      </w:pPr>
      <w:r>
        <w:t xml:space="preserve">Automotive content growth fails to offset weak production, especially in North America;</w:t>
      </w:r>
    </w:p>
    <w:p>
      <w:pPr>
        <w:pStyle w:val="Compact"/>
        <w:numPr>
          <w:ilvl w:val="0"/>
          <w:numId w:val="1008"/>
        </w:numPr>
      </w:pPr>
      <w:r>
        <w:t xml:space="preserve">Commercial transportation momentum fades;</w:t>
      </w:r>
    </w:p>
    <w:p>
      <w:pPr>
        <w:pStyle w:val="Compact"/>
        <w:numPr>
          <w:ilvl w:val="0"/>
          <w:numId w:val="1008"/>
        </w:numPr>
      </w:pPr>
      <w:r>
        <w:t xml:space="preserve">Energy growth slows more sharply than expected, particularly in clean-energy applications;</w:t>
      </w:r>
    </w:p>
    <w:p>
      <w:pPr>
        <w:pStyle w:val="Compact"/>
        <w:numPr>
          <w:ilvl w:val="0"/>
          <w:numId w:val="1008"/>
        </w:numPr>
      </w:pPr>
      <w:r>
        <w:t xml:space="preserve">Management frames second-half demand as more volatile or reduces its FY26 growth/earnings outlook.</w:t>
      </w:r>
    </w:p>
    <w:bookmarkEnd w:id="18"/>
    <w:bookmarkEnd w:id="19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TEL is no longer simply a cyclical auto-and-industrial connector supplier; its earnings setup is increasingly shaped by</w:t>
      </w:r>
      <w:r>
        <w:t xml:space="preserve"> </w:t>
      </w:r>
      <w:r>
        <w:rPr>
          <w:b/>
          <w:bCs/>
        </w:rPr>
        <w:t xml:space="preserve">AI infrastructure and power-grid modernization</w:t>
      </w:r>
      <w:r>
        <w:t xml:space="preserve">, with both businesses offering structurally stronger growth and content opportunities. The tradeoff is that expectations have risen: consensus already reflects management’s FQ3 guide, so investors need evidence that the AI ramp, order momentum, and margin model can support a stronger second half and potentially higher FY26 expectations.</w:t>
      </w:r>
    </w:p>
    <w:p>
      <w:pPr>
        <w:pStyle w:val="BodyText"/>
      </w:pPr>
      <w:r>
        <w:rPr>
          <w:b/>
          <w:bCs/>
        </w:rPr>
        <w:t xml:space="preserve">Most important datapoint:</w:t>
      </w:r>
      <w:r>
        <w:t xml:space="preserve"> </w:t>
      </w:r>
      <w:r>
        <w:t xml:space="preserve">AI/DDN orders and revenue conversion.</w:t>
      </w:r>
      <w:r>
        <w:br/>
      </w:r>
      <w:r>
        <w:rPr>
          <w:b/>
          <w:bCs/>
        </w:rPr>
        <w:t xml:space="preserve">Most important financial datapoint:</w:t>
      </w:r>
      <w:r>
        <w:t xml:space="preserve"> </w:t>
      </w:r>
      <w:r>
        <w:t xml:space="preserve">adjusted operating margin versus the ~21.9% consensus expectation.</w:t>
      </w:r>
      <w:r>
        <w:br/>
      </w:r>
      <w:r>
        <w:rPr>
          <w:b/>
          <w:bCs/>
        </w:rPr>
        <w:t xml:space="preserve">Most important guidance datapoint:</w:t>
      </w:r>
      <w:r>
        <w:t xml:space="preserve"> </w:t>
      </w:r>
      <w:r>
        <w:t xml:space="preserve">whether TEL raises, or at least strengthens confidence in, its FY26 AI revenue, broad growth, and double-digit EPS outlook.</w:t>
      </w:r>
    </w:p>
    <w:p>
      <w:r>
        <w:pict>
          <v:rect style="width:0;height:1.5pt" o:hralign="center" o:hrstd="t" o:hr="t"/>
        </w:pict>
      </w:r>
    </w:p>
    <w:bookmarkStart w:id="20" w:name="research-sources-reviewed"/>
    <w:p>
      <w:pPr>
        <w:pStyle w:val="Heading3"/>
      </w:pPr>
      <w:r>
        <w:t xml:space="preserve">Research sources reviewed</w:t>
      </w:r>
    </w:p>
    <w:p>
      <w:pPr>
        <w:pStyle w:val="Compact"/>
        <w:numPr>
          <w:ilvl w:val="0"/>
          <w:numId w:val="1009"/>
        </w:numPr>
      </w:pPr>
      <w:r>
        <w:t xml:space="preserve">TE Connectivity FQ2 2026 earnings release and earnings presentation — April 22, 2026</w:t>
      </w:r>
    </w:p>
    <w:p>
      <w:pPr>
        <w:pStyle w:val="Compact"/>
        <w:numPr>
          <w:ilvl w:val="0"/>
          <w:numId w:val="1009"/>
        </w:numPr>
      </w:pPr>
      <w:r>
        <w:t xml:space="preserve">TE Connectivity FQ2 2026 earnings-call transcript — April 22, 2026</w:t>
      </w:r>
    </w:p>
    <w:p>
      <w:pPr>
        <w:pStyle w:val="Compact"/>
        <w:numPr>
          <w:ilvl w:val="0"/>
          <w:numId w:val="1009"/>
        </w:numPr>
      </w:pPr>
      <w:r>
        <w:t xml:space="preserve">TE Connectivity FQ2 2026 Form 10-Q</w:t>
      </w:r>
    </w:p>
    <w:p>
      <w:pPr>
        <w:pStyle w:val="Compact"/>
        <w:numPr>
          <w:ilvl w:val="0"/>
          <w:numId w:val="1009"/>
        </w:numPr>
      </w:pPr>
      <w:r>
        <w:t xml:space="preserve">TE Connectivity Investor Day transcript — November 20, 2025</w:t>
      </w:r>
    </w:p>
    <w:p>
      <w:pPr>
        <w:pStyle w:val="Compact"/>
        <w:numPr>
          <w:ilvl w:val="0"/>
          <w:numId w:val="1009"/>
        </w:numPr>
      </w:pPr>
      <w:r>
        <w:t xml:space="preserve">Recent TEL market-news digest — July 17, 2026</w:t>
      </w:r>
    </w:p>
    <w:bookmarkEnd w:id="20"/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2026-07-22T00:14:42Z</dcterms:created>
  <dcterms:modified xsi:type="dcterms:W3CDTF">2026-07-22T00:14:42Z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