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TE Connectivity (TEL) — Q3 FY2026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TE Connectivity Ltd.</w:t>
            </w:r>
          </w:p>
        </w:tc>
      </w:tr>
      <w:tr>
        <w:tc>
          <w:tcPr>
            <w:tcW w:type="dxa" w:w="4320"/>
          </w:tcPr>
          <w:p>
            <w:r>
              <w:rPr>
                <w:rFonts w:ascii="Calibri" w:hAnsi="Calibri"/>
                <w:b/>
                <w:sz w:val="22"/>
              </w:rPr>
              <w:t>Ticker</w:t>
            </w:r>
          </w:p>
        </w:tc>
        <w:tc>
          <w:tcPr>
            <w:tcW w:type="dxa" w:w="4320"/>
          </w:tcPr>
          <w:p>
            <w:r>
              <w:rPr>
                <w:rFonts w:ascii="Calibri" w:hAnsi="Calibri"/>
                <w:sz w:val="22"/>
              </w:rPr>
              <w:t>TEL (NYSE)</w:t>
            </w:r>
          </w:p>
        </w:tc>
      </w:tr>
      <w:tr>
        <w:tc>
          <w:tcPr>
            <w:tcW w:type="dxa" w:w="4320"/>
          </w:tcPr>
          <w:p>
            <w:r>
              <w:rPr>
                <w:rFonts w:ascii="Calibri" w:hAnsi="Calibri"/>
                <w:b/>
                <w:sz w:val="22"/>
              </w:rPr>
              <w:t>Reporting Period</w:t>
            </w:r>
          </w:p>
        </w:tc>
        <w:tc>
          <w:tcPr>
            <w:tcW w:type="dxa" w:w="4320"/>
          </w:tcPr>
          <w:p>
            <w:r>
              <w:rPr>
                <w:rFonts w:ascii="Calibri" w:hAnsi="Calibri"/>
                <w:sz w:val="22"/>
              </w:rPr>
              <w:t>Q3 FY2026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22, 2026</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r>
        <w:tc>
          <w:tcPr>
            <w:tcW w:type="dxa" w:w="4320"/>
          </w:tcPr>
          <w:p>
            <w:r>
              <w:rPr>
                <w:rFonts w:ascii="Calibri" w:hAnsi="Calibri"/>
                <w:b/>
                <w:sz w:val="22"/>
              </w:rPr>
              <w:t>Last Earnings</w:t>
            </w:r>
          </w:p>
        </w:tc>
        <w:tc>
          <w:tcPr>
            <w:tcW w:type="dxa" w:w="4320"/>
          </w:tcPr>
          <w:p>
            <w:r>
              <w:rPr>
                <w:rFonts w:ascii="Calibri" w:hAnsi="Calibri"/>
                <w:sz w:val="22"/>
              </w:rPr>
              <w:t>April 22, 2026 (Q2 FY2026)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favors a beat — management guided Q3 revenue to $5.0B (+10% YoY) and adj. EPS to ~$2.83 (+17% YoY), both above consensus at the time of guidance, and the AI demand read-through from peers (APH, CLS, JBL, FN) has been uniformly bullish; the biggest swing factor is whether DDN/AI revenue acceleration in 2H FY26 is tracking the raised $2.4B full-year target.</w:t>
      </w:r>
    </w:p>
    <w:p>
      <w:r>
        <w:rPr>
          <w:rFonts w:ascii="Calibri" w:hAnsi="Calibri"/>
          <w:color w:val="525866"/>
          <w:sz w:val="22"/>
        </w:rPr>
        <w:t xml:space="preserve">Heading into Q3 FY2026, the bar for TEL is achievable but not low — management set explicit guidance of $5.0B in revenue and ~$2.83 in adjusted EPS, both of which were above consensus at the time of the Q2 print, and the estimate trajectory has been modestly upward since (current consensus: $5.01B revenue, $2.85 adj. EPS). </w:t>
      </w:r>
      <w:r>
        <w:rPr>
          <w:rFonts w:ascii="Calibri" w:hAnsi="Calibri"/>
          <w:color w:val="525866"/>
          <w:sz w:val="22"/>
        </w:rPr>
        <w:t xml:space="preserve">Management's tone has shifted decisively more confident since last earnings: </w:t>
      </w:r>
      <w:r>
        <w:rPr>
          <w:rFonts w:ascii="Calibri" w:hAnsi="Calibri"/>
          <w:color w:val="525866"/>
          <w:sz w:val="22"/>
        </w:rPr>
        <w:t xml:space="preserve">the second consecutive AI revenue guidance raise (entirely in 2H), record orders of $5.3B with book-to-bill of 1.12, and the CEO's Bernstein conference commentary characterizing both automation and commercial transportation recoveries as 'early inflection' all point to a company with strong visibility. </w:t>
      </w:r>
      <w:r>
        <w:rPr>
          <w:rFonts w:ascii="Calibri" w:hAnsi="Calibri"/>
          <w:color w:val="525866"/>
          <w:sz w:val="22"/>
        </w:rPr>
        <w:t xml:space="preserve">Estimate revisions have tracked guidance closely with no meaningful divergence, suggesting the street is largely aligned with management's view — a modest cushion rather than a stretched bar. </w:t>
      </w:r>
      <w:r>
        <w:rPr>
          <w:rFonts w:ascii="Calibri" w:hAnsi="Calibri"/>
          <w:color w:val="525866"/>
          <w:sz w:val="22"/>
        </w:rPr>
        <w:t xml:space="preserve">The stock has underperformed since Q2 earnings (TEL -5.4% vs. SPY +5.2% and IYJ +3.5%), suggesting the market has not priced in a beat and the valuation discount to Amphenol (~21x vs. APH ~38x forward P/E) remains wide. </w:t>
      </w:r>
      <w:r>
        <w:rPr>
          <w:rFonts w:ascii="Calibri" w:hAnsi="Calibri"/>
          <w:color w:val="525866"/>
          <w:sz w:val="22"/>
        </w:rPr>
        <w:t>The key wildcard is the pace of DDN/AI revenue ramp in Q3 — peers CLS and JBL both raised AI revenue outlooks materially in the last 60 days, and APH guided IT datacom up low-teens sequentially for Q2 calendar, all of which are strong read-throughs for TEL's AI connectivity business.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management guided above street on both revenue and EPS at Q2 earnings, and estimates have drifted modestly higher since. </w:t>
      </w:r>
      <w:r>
        <w:rPr>
          <w:rFonts w:ascii="Calibri" w:hAnsi="Calibri"/>
          <w:color w:val="525866"/>
          <w:sz w:val="22"/>
        </w:rPr>
        <w:t>Organic growth rate (~9% consensus) is the bigger swing factor given the AI ramp acceleration in 2H; book-to-bill is the leading indicator to watch for FY27 visibility.</w:t>
      </w:r>
    </w:p>
    <w:p>
      <w:pPr>
        <w:pStyle w:val="Heading3"/>
      </w:pPr>
      <w:r>
        <w:rPr>
          <w:rFonts w:ascii="Calibri" w:hAnsi="Calibri"/>
          <w:b/>
          <w:color w:val="3B4259"/>
          <w:sz w:val="24"/>
        </w:rPr>
        <w:t>Table 1 — Q3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FY26 Actual (Last Qtr)</w:t>
            </w:r>
          </w:p>
        </w:tc>
        <w:tc>
          <w:tcPr>
            <w:tcW w:type="dxa" w:w="1234"/>
            <w:shd w:val="clear" w:color="auto" w:fill="3B4259"/>
          </w:tcPr>
          <w:p>
            <w:r>
              <w:rPr>
                <w:rFonts w:ascii="Calibri" w:hAnsi="Calibri"/>
                <w:b/>
                <w:color w:val="FFFFFF"/>
                <w:sz w:val="22"/>
              </w:rPr>
              <w:t>Q3 FY25 Actual (Prior Year)</w:t>
            </w:r>
          </w:p>
        </w:tc>
        <w:tc>
          <w:tcPr>
            <w:tcW w:type="dxa" w:w="1234"/>
            <w:shd w:val="clear" w:color="auto" w:fill="3B4259"/>
          </w:tcPr>
          <w:p>
            <w:r>
              <w:rPr>
                <w:rFonts w:ascii="Calibri" w:hAnsi="Calibri"/>
                <w:b/>
                <w:color w:val="FFFFFF"/>
                <w:sz w:val="22"/>
              </w:rPr>
              <w:t>Q3 FY26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Call)</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Sales ($B)</w:t>
            </w:r>
          </w:p>
        </w:tc>
        <w:tc>
          <w:tcPr>
            <w:tcW w:type="dxa" w:w="1234"/>
          </w:tcPr>
          <w:p>
            <w:r>
              <w:rPr>
                <w:rFonts w:ascii="Calibri" w:hAnsi="Calibri"/>
                <w:sz w:val="22"/>
              </w:rPr>
              <w:t>$4.744B</w:t>
            </w:r>
          </w:p>
        </w:tc>
        <w:tc>
          <w:tcPr>
            <w:tcW w:type="dxa" w:w="1234"/>
          </w:tcPr>
          <w:p>
            <w:r>
              <w:rPr>
                <w:rFonts w:ascii="Calibri" w:hAnsi="Calibri"/>
                <w:sz w:val="22"/>
              </w:rPr>
              <w:t>$4.534B</w:t>
            </w:r>
          </w:p>
        </w:tc>
        <w:tc>
          <w:tcPr>
            <w:tcW w:type="dxa" w:w="1234"/>
          </w:tcPr>
          <w:p>
            <w:r>
              <w:rPr>
                <w:rFonts w:ascii="Calibri" w:hAnsi="Calibri"/>
                <w:sz w:val="22"/>
              </w:rPr>
              <w:t>$5.015B</w:t>
            </w:r>
          </w:p>
        </w:tc>
        <w:tc>
          <w:tcPr>
            <w:tcW w:type="dxa" w:w="1234"/>
          </w:tcPr>
          <w:p>
            <w:r>
              <w:rPr>
                <w:rFonts w:ascii="Calibri" w:hAnsi="Calibri"/>
                <w:sz w:val="22"/>
              </w:rPr>
              <w:t>+10.6%</w:t>
            </w:r>
          </w:p>
        </w:tc>
        <w:tc>
          <w:tcPr>
            <w:tcW w:type="dxa" w:w="1234"/>
          </w:tcPr>
          <w:p>
            <w:r>
              <w:rPr>
                <w:rFonts w:ascii="Calibri" w:hAnsi="Calibri"/>
                <w:sz w:val="22"/>
              </w:rPr>
              <w:t>$5.000B</w:t>
            </w:r>
          </w:p>
        </w:tc>
        <w:tc>
          <w:tcPr>
            <w:tcW w:type="dxa" w:w="1234"/>
          </w:tcPr>
          <w:p>
            <w:r>
              <w:rPr>
                <w:rFonts w:ascii="Calibri" w:hAnsi="Calibri"/>
                <w:sz w:val="22"/>
              </w:rPr>
              <w:t>+0.3%</w:t>
            </w:r>
          </w:p>
        </w:tc>
      </w:tr>
      <w:tr>
        <w:tc>
          <w:tcPr>
            <w:tcW w:type="dxa" w:w="1234"/>
          </w:tcPr>
          <w:p>
            <w:r>
              <w:rPr>
                <w:rFonts w:ascii="Calibri" w:hAnsi="Calibri"/>
                <w:sz w:val="22"/>
              </w:rPr>
              <w:t>Adj. EPS - Diluted ($)</w:t>
            </w:r>
          </w:p>
        </w:tc>
        <w:tc>
          <w:tcPr>
            <w:tcW w:type="dxa" w:w="1234"/>
          </w:tcPr>
          <w:p>
            <w:r>
              <w:rPr>
                <w:rFonts w:ascii="Calibri" w:hAnsi="Calibri"/>
                <w:sz w:val="22"/>
              </w:rPr>
              <w:t>$2.725</w:t>
            </w:r>
          </w:p>
        </w:tc>
        <w:tc>
          <w:tcPr>
            <w:tcW w:type="dxa" w:w="1234"/>
          </w:tcPr>
          <w:p>
            <w:r>
              <w:rPr>
                <w:rFonts w:ascii="Calibri" w:hAnsi="Calibri"/>
                <w:sz w:val="22"/>
              </w:rPr>
              <w:t>$2.406</w:t>
            </w:r>
          </w:p>
        </w:tc>
        <w:tc>
          <w:tcPr>
            <w:tcW w:type="dxa" w:w="1234"/>
          </w:tcPr>
          <w:p>
            <w:r>
              <w:rPr>
                <w:rFonts w:ascii="Calibri" w:hAnsi="Calibri"/>
                <w:sz w:val="22"/>
              </w:rPr>
              <w:t>$2.849</w:t>
            </w:r>
          </w:p>
        </w:tc>
        <w:tc>
          <w:tcPr>
            <w:tcW w:type="dxa" w:w="1234"/>
          </w:tcPr>
          <w:p>
            <w:r>
              <w:rPr>
                <w:rFonts w:ascii="Calibri" w:hAnsi="Calibri"/>
                <w:sz w:val="22"/>
              </w:rPr>
              <w:t>+18.4%</w:t>
            </w:r>
          </w:p>
        </w:tc>
        <w:tc>
          <w:tcPr>
            <w:tcW w:type="dxa" w:w="1234"/>
          </w:tcPr>
          <w:p>
            <w:r>
              <w:rPr>
                <w:rFonts w:ascii="Calibri" w:hAnsi="Calibri"/>
                <w:sz w:val="22"/>
              </w:rPr>
              <w:t>~$2.83</w:t>
            </w:r>
          </w:p>
        </w:tc>
        <w:tc>
          <w:tcPr>
            <w:tcW w:type="dxa" w:w="1234"/>
          </w:tcPr>
          <w:p>
            <w:r>
              <w:rPr>
                <w:rFonts w:ascii="Calibri" w:hAnsi="Calibri"/>
                <w:sz w:val="22"/>
              </w:rPr>
              <w:t>+0.7%</w:t>
            </w:r>
          </w:p>
        </w:tc>
      </w:tr>
      <w:tr>
        <w:tc>
          <w:tcPr>
            <w:tcW w:type="dxa" w:w="1234"/>
          </w:tcPr>
          <w:p>
            <w:r>
              <w:rPr>
                <w:rFonts w:ascii="Calibri" w:hAnsi="Calibri"/>
                <w:sz w:val="22"/>
              </w:rPr>
              <w:t>Adj. Operating Margin (%)</w:t>
            </w:r>
          </w:p>
        </w:tc>
        <w:tc>
          <w:tcPr>
            <w:tcW w:type="dxa" w:w="1234"/>
          </w:tcPr>
          <w:p>
            <w:r>
              <w:rPr>
                <w:rFonts w:ascii="Calibri" w:hAnsi="Calibri"/>
                <w:sz w:val="22"/>
              </w:rPr>
              <w:t>21.7%</w:t>
            </w:r>
          </w:p>
        </w:tc>
        <w:tc>
          <w:tcPr>
            <w:tcW w:type="dxa" w:w="1234"/>
          </w:tcPr>
          <w:p>
            <w:r>
              <w:rPr>
                <w:rFonts w:ascii="Calibri" w:hAnsi="Calibri"/>
                <w:sz w:val="22"/>
              </w:rPr>
              <w:t>21.0%</w:t>
            </w:r>
          </w:p>
        </w:tc>
        <w:tc>
          <w:tcPr>
            <w:tcW w:type="dxa" w:w="1234"/>
          </w:tcPr>
          <w:p>
            <w:r>
              <w:rPr>
                <w:rFonts w:ascii="Calibri" w:hAnsi="Calibri"/>
                <w:sz w:val="22"/>
              </w:rPr>
              <w:t>21.9%</w:t>
            </w:r>
          </w:p>
        </w:tc>
        <w:tc>
          <w:tcPr>
            <w:tcW w:type="dxa" w:w="1234"/>
          </w:tcPr>
          <w:p>
            <w:r>
              <w:rPr>
                <w:rFonts w:ascii="Calibri" w:hAnsi="Calibri"/>
                <w:sz w:val="22"/>
              </w:rPr>
              <w:t>+90 bps</w:t>
            </w:r>
          </w:p>
        </w:tc>
        <w:tc>
          <w:tcPr>
            <w:tcW w:type="dxa" w:w="1234"/>
          </w:tcPr>
          <w:p>
            <w:r>
              <w:rPr>
                <w:rFonts w:ascii="Calibri" w:hAnsi="Calibri"/>
                <w:sz w:val="22"/>
              </w:rPr>
              <w:t>~22%+ (30%+ incrementals)</w:t>
            </w:r>
          </w:p>
        </w:tc>
        <w:tc>
          <w:tcPr>
            <w:tcW w:type="dxa" w:w="1234"/>
          </w:tcPr>
          <w:p>
            <w:r>
              <w:rPr>
                <w:rFonts w:ascii="Calibri" w:hAnsi="Calibri"/>
                <w:sz w:val="22"/>
              </w:rPr>
              <w:t>~flat vs. guidance</w:t>
            </w:r>
          </w:p>
        </w:tc>
      </w:tr>
      <w:tr>
        <w:tc>
          <w:tcPr>
            <w:tcW w:type="dxa" w:w="1234"/>
          </w:tcPr>
          <w:p>
            <w:r>
              <w:rPr>
                <w:rFonts w:ascii="Calibri" w:hAnsi="Calibri"/>
                <w:sz w:val="22"/>
              </w:rPr>
              <w:t>Organic Growth Rate - Net Sales (%)</w:t>
            </w:r>
          </w:p>
        </w:tc>
        <w:tc>
          <w:tcPr>
            <w:tcW w:type="dxa" w:w="1234"/>
          </w:tcPr>
          <w:p>
            <w:r>
              <w:rPr>
                <w:rFonts w:ascii="Calibri" w:hAnsi="Calibri"/>
                <w:sz w:val="22"/>
              </w:rPr>
              <w:t>+7.2%</w:t>
            </w:r>
          </w:p>
        </w:tc>
        <w:tc>
          <w:tcPr>
            <w:tcW w:type="dxa" w:w="1234"/>
          </w:tcPr>
          <w:p>
            <w:r>
              <w:rPr>
                <w:rFonts w:ascii="Calibri" w:hAnsi="Calibri"/>
                <w:sz w:val="22"/>
              </w:rPr>
              <w:t>+9.1%</w:t>
            </w:r>
          </w:p>
        </w:tc>
        <w:tc>
          <w:tcPr>
            <w:tcW w:type="dxa" w:w="1234"/>
          </w:tcPr>
          <w:p>
            <w:r>
              <w:rPr>
                <w:rFonts w:ascii="Calibri" w:hAnsi="Calibri"/>
                <w:sz w:val="22"/>
              </w:rPr>
              <w:t>+8.9%</w:t>
            </w:r>
          </w:p>
        </w:tc>
        <w:tc>
          <w:tcPr>
            <w:tcW w:type="dxa" w:w="1234"/>
          </w:tcPr>
          <w:p>
            <w:r>
              <w:rPr>
                <w:rFonts w:ascii="Calibri" w:hAnsi="Calibri"/>
                <w:sz w:val="22"/>
              </w:rPr>
              <w:t>-20 bps YoY</w:t>
            </w:r>
          </w:p>
        </w:tc>
        <w:tc>
          <w:tcPr>
            <w:tcW w:type="dxa" w:w="1234"/>
          </w:tcPr>
          <w:p>
            <w:r>
              <w:rPr>
                <w:rFonts w:ascii="Calibri" w:hAnsi="Calibri"/>
                <w:sz w:val="22"/>
              </w:rPr>
              <w:t>High-single-digit</w:t>
            </w:r>
          </w:p>
        </w:tc>
        <w:tc>
          <w:tcPr>
            <w:tcW w:type="dxa" w:w="1234"/>
          </w:tcPr>
          <w:p>
            <w:r>
              <w:rPr>
                <w:rFonts w:ascii="Calibri" w:hAnsi="Calibri"/>
                <w:sz w:val="22"/>
              </w:rPr>
              <w:t>In-line</w:t>
            </w:r>
          </w:p>
        </w:tc>
      </w:tr>
      <w:tr>
        <w:tc>
          <w:tcPr>
            <w:tcW w:type="dxa" w:w="1234"/>
          </w:tcPr>
          <w:p>
            <w:r>
              <w:rPr>
                <w:rFonts w:ascii="Calibri" w:hAnsi="Calibri"/>
                <w:sz w:val="22"/>
              </w:rPr>
              <w:t>Book-to-Bill (x)</w:t>
            </w:r>
          </w:p>
        </w:tc>
        <w:tc>
          <w:tcPr>
            <w:tcW w:type="dxa" w:w="1234"/>
          </w:tcPr>
          <w:p>
            <w:r>
              <w:rPr>
                <w:rFonts w:ascii="Calibri" w:hAnsi="Calibri"/>
                <w:sz w:val="22"/>
              </w:rPr>
              <w:t>1.12x</w:t>
            </w:r>
          </w:p>
        </w:tc>
        <w:tc>
          <w:tcPr>
            <w:tcW w:type="dxa" w:w="1234"/>
          </w:tcPr>
          <w:p>
            <w:r>
              <w:rPr>
                <w:rFonts w:ascii="Calibri" w:hAnsi="Calibri"/>
                <w:sz w:val="22"/>
              </w:rPr>
              <w:t>0.99x</w:t>
            </w:r>
          </w:p>
        </w:tc>
        <w:tc>
          <w:tcPr>
            <w:tcW w:type="dxa" w:w="1234"/>
          </w:tcPr>
          <w:p>
            <w:r>
              <w:rPr>
                <w:rFonts w:ascii="Calibri" w:hAnsi="Calibri"/>
                <w:sz w:val="22"/>
              </w:rPr>
              <w:t>0.83x (cons.)</w:t>
            </w:r>
          </w:p>
        </w:tc>
        <w:tc>
          <w:tcPr>
            <w:tcW w:type="dxa" w:w="1234"/>
          </w:tcPr>
          <w:p>
            <w:r>
              <w:rPr>
                <w:rFonts w:ascii="Calibri" w:hAnsi="Calibri"/>
                <w:sz w:val="22"/>
              </w:rPr>
              <w:t>N/A</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Total Orders ($B)</w:t>
            </w:r>
          </w:p>
        </w:tc>
        <w:tc>
          <w:tcPr>
            <w:tcW w:type="dxa" w:w="1234"/>
          </w:tcPr>
          <w:p>
            <w:r>
              <w:rPr>
                <w:rFonts w:ascii="Calibri" w:hAnsi="Calibri"/>
                <w:sz w:val="22"/>
              </w:rPr>
              <w:t>$5.324B</w:t>
            </w:r>
          </w:p>
        </w:tc>
        <w:tc>
          <w:tcPr>
            <w:tcW w:type="dxa" w:w="1234"/>
          </w:tcPr>
          <w:p>
            <w:r>
              <w:rPr>
                <w:rFonts w:ascii="Calibri" w:hAnsi="Calibri"/>
                <w:sz w:val="22"/>
              </w:rPr>
              <w:t>$4.472B</w:t>
            </w:r>
          </w:p>
        </w:tc>
        <w:tc>
          <w:tcPr>
            <w:tcW w:type="dxa" w:w="1234"/>
          </w:tcPr>
          <w:p>
            <w:r>
              <w:rPr>
                <w:rFonts w:ascii="Calibri" w:hAnsi="Calibri"/>
                <w:sz w:val="22"/>
              </w:rPr>
              <w:t>$4.200B (cons.)</w:t>
            </w:r>
          </w:p>
        </w:tc>
        <w:tc>
          <w:tcPr>
            <w:tcW w:type="dxa" w:w="1234"/>
          </w:tcPr>
          <w:p>
            <w:r>
              <w:rPr>
                <w:rFonts w:ascii="Calibri" w:hAnsi="Calibri"/>
                <w:sz w:val="22"/>
              </w:rPr>
              <w:t>N/A</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Net Sales - Transportation ($B)</w:t>
            </w:r>
          </w:p>
        </w:tc>
        <w:tc>
          <w:tcPr>
            <w:tcW w:type="dxa" w:w="1234"/>
          </w:tcPr>
          <w:p>
            <w:r>
              <w:rPr>
                <w:rFonts w:ascii="Calibri" w:hAnsi="Calibri"/>
                <w:sz w:val="22"/>
              </w:rPr>
              <w:t>$2.422B</w:t>
            </w:r>
          </w:p>
        </w:tc>
        <w:tc>
          <w:tcPr>
            <w:tcW w:type="dxa" w:w="1234"/>
          </w:tcPr>
          <w:p>
            <w:r>
              <w:rPr>
                <w:rFonts w:ascii="Calibri" w:hAnsi="Calibri"/>
                <w:sz w:val="22"/>
              </w:rPr>
              <w:t>$2.418B</w:t>
            </w:r>
          </w:p>
        </w:tc>
        <w:tc>
          <w:tcPr>
            <w:tcW w:type="dxa" w:w="1234"/>
          </w:tcPr>
          <w:p>
            <w:r>
              <w:rPr>
                <w:rFonts w:ascii="Calibri" w:hAnsi="Calibri"/>
                <w:sz w:val="22"/>
              </w:rPr>
              <w:t>$2.503B</w:t>
            </w:r>
          </w:p>
        </w:tc>
        <w:tc>
          <w:tcPr>
            <w:tcW w:type="dxa" w:w="1234"/>
          </w:tcPr>
          <w:p>
            <w:r>
              <w:rPr>
                <w:rFonts w:ascii="Calibri" w:hAnsi="Calibri"/>
                <w:sz w:val="22"/>
              </w:rPr>
              <w:t>+3.5%</w:t>
            </w:r>
          </w:p>
        </w:tc>
        <w:tc>
          <w:tcPr>
            <w:tcW w:type="dxa" w:w="1234"/>
          </w:tcPr>
          <w:p>
            <w:r>
              <w:rPr>
                <w:rFonts w:ascii="Calibri" w:hAnsi="Calibri"/>
                <w:sz w:val="22"/>
              </w:rPr>
              <w:t>YoY &amp; seq. growth</w:t>
            </w:r>
          </w:p>
        </w:tc>
        <w:tc>
          <w:tcPr>
            <w:tcW w:type="dxa" w:w="1234"/>
          </w:tcPr>
          <w:p>
            <w:r>
              <w:rPr>
                <w:rFonts w:ascii="Calibri" w:hAnsi="Calibri"/>
                <w:sz w:val="22"/>
              </w:rPr>
              <w:t>N/A</w:t>
            </w:r>
          </w:p>
        </w:tc>
      </w:tr>
      <w:tr>
        <w:tc>
          <w:tcPr>
            <w:tcW w:type="dxa" w:w="1234"/>
          </w:tcPr>
          <w:p>
            <w:r>
              <w:rPr>
                <w:rFonts w:ascii="Calibri" w:hAnsi="Calibri"/>
                <w:sz w:val="22"/>
              </w:rPr>
              <w:t>Net Sales - Industrial ($B)</w:t>
            </w:r>
          </w:p>
        </w:tc>
        <w:tc>
          <w:tcPr>
            <w:tcW w:type="dxa" w:w="1234"/>
          </w:tcPr>
          <w:p>
            <w:r>
              <w:rPr>
                <w:rFonts w:ascii="Calibri" w:hAnsi="Calibri"/>
                <w:sz w:val="22"/>
              </w:rPr>
              <w:t>$2.322B</w:t>
            </w:r>
          </w:p>
        </w:tc>
        <w:tc>
          <w:tcPr>
            <w:tcW w:type="dxa" w:w="1234"/>
          </w:tcPr>
          <w:p>
            <w:r>
              <w:rPr>
                <w:rFonts w:ascii="Calibri" w:hAnsi="Calibri"/>
                <w:sz w:val="22"/>
              </w:rPr>
              <w:t>$2.116B</w:t>
            </w:r>
          </w:p>
        </w:tc>
        <w:tc>
          <w:tcPr>
            <w:tcW w:type="dxa" w:w="1234"/>
          </w:tcPr>
          <w:p>
            <w:r>
              <w:rPr>
                <w:rFonts w:ascii="Calibri" w:hAnsi="Calibri"/>
                <w:sz w:val="22"/>
              </w:rPr>
              <w:t>$2.512B</w:t>
            </w:r>
          </w:p>
        </w:tc>
        <w:tc>
          <w:tcPr>
            <w:tcW w:type="dxa" w:w="1234"/>
          </w:tcPr>
          <w:p>
            <w:r>
              <w:rPr>
                <w:rFonts w:ascii="Calibri" w:hAnsi="Calibri"/>
                <w:sz w:val="22"/>
              </w:rPr>
              <w:t>+18.7%</w:t>
            </w:r>
          </w:p>
        </w:tc>
        <w:tc>
          <w:tcPr>
            <w:tcW w:type="dxa" w:w="1234"/>
          </w:tcPr>
          <w:p>
            <w:r>
              <w:rPr>
                <w:rFonts w:ascii="Calibri" w:hAnsi="Calibri"/>
                <w:sz w:val="22"/>
              </w:rPr>
              <w:t>YoY &amp; seq. growth</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$0.677B</w:t>
            </w:r>
          </w:p>
        </w:tc>
        <w:tc>
          <w:tcPr>
            <w:tcW w:type="dxa" w:w="1234"/>
          </w:tcPr>
          <w:p>
            <w:r>
              <w:rPr>
                <w:rFonts w:ascii="Calibri" w:hAnsi="Calibri"/>
                <w:sz w:val="22"/>
              </w:rPr>
              <w:t>$0.957B</w:t>
            </w:r>
          </w:p>
        </w:tc>
        <w:tc>
          <w:tcPr>
            <w:tcW w:type="dxa" w:w="1234"/>
          </w:tcPr>
          <w:p>
            <w:r>
              <w:rPr>
                <w:rFonts w:ascii="Calibri" w:hAnsi="Calibri"/>
                <w:sz w:val="22"/>
              </w:rPr>
              <w:t>$0.833B</w:t>
            </w:r>
          </w:p>
        </w:tc>
        <w:tc>
          <w:tcPr>
            <w:tcW w:type="dxa" w:w="1234"/>
          </w:tcPr>
          <w:p>
            <w:r>
              <w:rPr>
                <w:rFonts w:ascii="Calibri" w:hAnsi="Calibri"/>
                <w:sz w:val="22"/>
              </w:rPr>
              <w:t>-13.0%</w:t>
            </w:r>
          </w:p>
        </w:tc>
        <w:tc>
          <w:tcPr>
            <w:tcW w:type="dxa" w:w="1234"/>
          </w:tcPr>
          <w:p>
            <w:r>
              <w:rPr>
                <w:rFonts w:ascii="Calibri" w:hAnsi="Calibri"/>
                <w:sz w:val="22"/>
              </w:rPr>
              <w:t>Well over 100% conversion</w:t>
            </w:r>
          </w:p>
        </w:tc>
        <w:tc>
          <w:tcPr>
            <w:tcW w:type="dxa" w:w="1234"/>
          </w:tcPr>
          <w:p>
            <w:r>
              <w:rPr>
                <w:rFonts w:ascii="Calibri" w:hAnsi="Calibri"/>
                <w:sz w:val="22"/>
              </w:rPr>
              <w:t>N/A</w:t>
            </w:r>
          </w:p>
        </w:tc>
      </w:tr>
    </w:tbl>
    <w:p>
      <w:r>
        <w:rPr>
          <w:rFonts w:ascii="Calibri" w:hAnsi="Calibri"/>
          <w:i/>
          <w:color w:val="525866"/>
          <w:sz w:val="22"/>
        </w:rPr>
        <w:t>Source: Visible Alpha Consensus and Actuals Data. Note: Book-to-bill consensus of 0.83x reflects VA consensus estimate which may not fully capture the strong order momentum management has guided; actual B2B is expected to remain above 1.0x given the order trajectory. Communications Solutions segment excluded from table as VA data shows significant variability in consensus coverage for this segment.</w:t>
      </w:r>
    </w:p>
    <w:p>
      <w:pPr>
        <w:pStyle w:val="Heading3"/>
      </w:pPr>
      <w:r>
        <w:rPr>
          <w:rFonts w:ascii="Calibri" w:hAnsi="Calibri"/>
          <w:b/>
          <w:color w:val="3B4259"/>
          <w:sz w:val="24"/>
        </w:rPr>
        <w:t>Table 2 — Beat/Miss History (Last 8 Quarters)</w:t>
      </w:r>
    </w:p>
    <w:p>
      <w:r>
        <w:rPr>
          <w:rFonts w:ascii="Calibri" w:hAnsi="Calibri"/>
          <w:b/>
          <w:color w:val="525866"/>
          <w:sz w:val="22"/>
        </w:rPr>
        <w:t>Top KPI #1: Net Sales | Top KPI #2: Adj. EPS (Diluted - Operating)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Net Sales Reported ($B)</w:t>
            </w:r>
          </w:p>
        </w:tc>
        <w:tc>
          <w:tcPr>
            <w:tcW w:type="dxa" w:w="1080"/>
            <w:shd w:val="clear" w:color="auto" w:fill="3B4259"/>
          </w:tcPr>
          <w:p>
            <w:r>
              <w:rPr>
                <w:rFonts w:ascii="Calibri" w:hAnsi="Calibri"/>
                <w:b/>
                <w:color w:val="FFFFFF"/>
                <w:sz w:val="22"/>
              </w:rPr>
              <w:t>Net Sales Consensus ($B)</w:t>
            </w:r>
          </w:p>
        </w:tc>
        <w:tc>
          <w:tcPr>
            <w:tcW w:type="dxa" w:w="1080"/>
            <w:shd w:val="clear" w:color="auto" w:fill="3B4259"/>
          </w:tcPr>
          <w:p>
            <w:r>
              <w:rPr>
                <w:rFonts w:ascii="Calibri" w:hAnsi="Calibri"/>
                <w:b/>
                <w:color w:val="FFFFFF"/>
                <w:sz w:val="22"/>
              </w:rPr>
              <w:t>Revenue Surprise %</w:t>
            </w:r>
          </w:p>
        </w:tc>
        <w:tc>
          <w:tcPr>
            <w:tcW w:type="dxa" w:w="1080"/>
            <w:shd w:val="clear" w:color="auto" w:fill="3B4259"/>
          </w:tcPr>
          <w:p>
            <w:r>
              <w:rPr>
                <w:rFonts w:ascii="Calibri" w:hAnsi="Calibri"/>
                <w:b/>
                <w:color w:val="FFFFFF"/>
                <w:sz w:val="22"/>
              </w:rPr>
              <w:t>Adj. EPS Reported ($)</w:t>
            </w:r>
          </w:p>
        </w:tc>
        <w:tc>
          <w:tcPr>
            <w:tcW w:type="dxa" w:w="1080"/>
            <w:shd w:val="clear" w:color="auto" w:fill="3B4259"/>
          </w:tcPr>
          <w:p>
            <w:r>
              <w:rPr>
                <w:rFonts w:ascii="Calibri" w:hAnsi="Calibri"/>
                <w:b/>
                <w:color w:val="FFFFFF"/>
                <w:sz w:val="22"/>
              </w:rPr>
              <w:t>Adj. EPS Consensus ($)</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Q3 FY24</w:t>
            </w:r>
          </w:p>
        </w:tc>
        <w:tc>
          <w:tcPr>
            <w:tcW w:type="dxa" w:w="1080"/>
          </w:tcPr>
          <w:p>
            <w:r>
              <w:rPr>
                <w:rFonts w:ascii="Calibri" w:hAnsi="Calibri"/>
                <w:sz w:val="22"/>
              </w:rPr>
              <w:t>$3.979B</w:t>
            </w:r>
          </w:p>
        </w:tc>
        <w:tc>
          <w:tcPr>
            <w:tcW w:type="dxa" w:w="1080"/>
          </w:tcPr>
          <w:p>
            <w:r>
              <w:rPr>
                <w:rFonts w:ascii="Calibri" w:hAnsi="Calibri"/>
                <w:sz w:val="22"/>
              </w:rPr>
              <w:t>$4.022B</w:t>
            </w:r>
          </w:p>
        </w:tc>
        <w:tc>
          <w:tcPr>
            <w:tcW w:type="dxa" w:w="1080"/>
          </w:tcPr>
          <w:p>
            <w:r>
              <w:rPr>
                <w:rFonts w:ascii="Calibri" w:hAnsi="Calibri"/>
                <w:b/>
                <w:color w:val="E5484D"/>
                <w:sz w:val="22"/>
              </w:rPr>
              <w:t>-1.1%</w:t>
            </w:r>
          </w:p>
        </w:tc>
        <w:tc>
          <w:tcPr>
            <w:tcW w:type="dxa" w:w="1080"/>
          </w:tcPr>
          <w:p>
            <w:r>
              <w:rPr>
                <w:rFonts w:ascii="Calibri" w:hAnsi="Calibri"/>
                <w:sz w:val="22"/>
              </w:rPr>
              <w:t>$2.016</w:t>
            </w:r>
          </w:p>
        </w:tc>
        <w:tc>
          <w:tcPr>
            <w:tcW w:type="dxa" w:w="1080"/>
          </w:tcPr>
          <w:p>
            <w:r>
              <w:rPr>
                <w:rFonts w:ascii="Calibri" w:hAnsi="Calibri"/>
                <w:sz w:val="22"/>
              </w:rPr>
              <w:t>$1.865</w:t>
            </w:r>
          </w:p>
        </w:tc>
        <w:tc>
          <w:tcPr>
            <w:tcW w:type="dxa" w:w="1080"/>
          </w:tcPr>
          <w:p>
            <w:r>
              <w:rPr>
                <w:rFonts w:ascii="Calibri" w:hAnsi="Calibri"/>
                <w:b/>
                <w:color w:val="30A46C"/>
                <w:sz w:val="22"/>
              </w:rPr>
              <w:t>+8.1%</w:t>
            </w:r>
          </w:p>
        </w:tc>
        <w:tc>
          <w:tcPr>
            <w:tcW w:type="dxa" w:w="1080"/>
          </w:tcPr>
          <w:p>
            <w:r>
              <w:rPr>
                <w:rFonts w:ascii="Calibri" w:hAnsi="Calibri"/>
                <w:sz w:val="22"/>
              </w:rPr>
              <w:t>Mixed</w:t>
            </w:r>
          </w:p>
        </w:tc>
      </w:tr>
      <w:tr>
        <w:tc>
          <w:tcPr>
            <w:tcW w:type="dxa" w:w="1080"/>
          </w:tcPr>
          <w:p>
            <w:r>
              <w:rPr>
                <w:rFonts w:ascii="Calibri" w:hAnsi="Calibri"/>
                <w:sz w:val="22"/>
              </w:rPr>
              <w:t>Q4 FY24</w:t>
            </w:r>
          </w:p>
        </w:tc>
        <w:tc>
          <w:tcPr>
            <w:tcW w:type="dxa" w:w="1080"/>
          </w:tcPr>
          <w:p>
            <w:r>
              <w:rPr>
                <w:rFonts w:ascii="Calibri" w:hAnsi="Calibri"/>
                <w:sz w:val="22"/>
              </w:rPr>
              <w:t>$4.068B</w:t>
            </w:r>
          </w:p>
        </w:tc>
        <w:tc>
          <w:tcPr>
            <w:tcW w:type="dxa" w:w="1080"/>
          </w:tcPr>
          <w:p>
            <w:r>
              <w:rPr>
                <w:rFonts w:ascii="Calibri" w:hAnsi="Calibri"/>
                <w:sz w:val="22"/>
              </w:rPr>
              <w:t>$4.005B</w:t>
            </w:r>
          </w:p>
        </w:tc>
        <w:tc>
          <w:tcPr>
            <w:tcW w:type="dxa" w:w="1080"/>
          </w:tcPr>
          <w:p>
            <w:r>
              <w:rPr>
                <w:rFonts w:ascii="Calibri" w:hAnsi="Calibri"/>
                <w:b/>
                <w:color w:val="30A46C"/>
                <w:sz w:val="22"/>
              </w:rPr>
              <w:t>+1.6%</w:t>
            </w:r>
          </w:p>
        </w:tc>
        <w:tc>
          <w:tcPr>
            <w:tcW w:type="dxa" w:w="1080"/>
          </w:tcPr>
          <w:p>
            <w:r>
              <w:rPr>
                <w:rFonts w:ascii="Calibri" w:hAnsi="Calibri"/>
                <w:sz w:val="22"/>
              </w:rPr>
              <w:t>$2.056</w:t>
            </w:r>
          </w:p>
        </w:tc>
        <w:tc>
          <w:tcPr>
            <w:tcW w:type="dxa" w:w="1080"/>
          </w:tcPr>
          <w:p>
            <w:r>
              <w:rPr>
                <w:rFonts w:ascii="Calibri" w:hAnsi="Calibri"/>
                <w:sz w:val="22"/>
              </w:rPr>
              <w:t>$1.943</w:t>
            </w:r>
          </w:p>
        </w:tc>
        <w:tc>
          <w:tcPr>
            <w:tcW w:type="dxa" w:w="1080"/>
          </w:tcPr>
          <w:p>
            <w:r>
              <w:rPr>
                <w:rFonts w:ascii="Calibri" w:hAnsi="Calibri"/>
                <w:b/>
                <w:color w:val="30A46C"/>
                <w:sz w:val="22"/>
              </w:rPr>
              <w:t>+5.8%</w:t>
            </w:r>
          </w:p>
        </w:tc>
        <w:tc>
          <w:tcPr>
            <w:tcW w:type="dxa" w:w="1080"/>
          </w:tcPr>
          <w:p>
            <w:r>
              <w:rPr>
                <w:rFonts w:ascii="Calibri" w:hAnsi="Calibri"/>
                <w:sz w:val="22"/>
              </w:rPr>
              <w:t>Beat</w:t>
            </w:r>
          </w:p>
        </w:tc>
      </w:tr>
      <w:tr>
        <w:tc>
          <w:tcPr>
            <w:tcW w:type="dxa" w:w="1080"/>
          </w:tcPr>
          <w:p>
            <w:r>
              <w:rPr>
                <w:rFonts w:ascii="Calibri" w:hAnsi="Calibri"/>
                <w:sz w:val="22"/>
              </w:rPr>
              <w:t>Q1 FY25</w:t>
            </w:r>
          </w:p>
        </w:tc>
        <w:tc>
          <w:tcPr>
            <w:tcW w:type="dxa" w:w="1080"/>
          </w:tcPr>
          <w:p>
            <w:r>
              <w:rPr>
                <w:rFonts w:ascii="Calibri" w:hAnsi="Calibri"/>
                <w:sz w:val="22"/>
              </w:rPr>
              <w:t>$3.836B</w:t>
            </w:r>
          </w:p>
        </w:tc>
        <w:tc>
          <w:tcPr>
            <w:tcW w:type="dxa" w:w="1080"/>
          </w:tcPr>
          <w:p>
            <w:r>
              <w:rPr>
                <w:rFonts w:ascii="Calibri" w:hAnsi="Calibri"/>
                <w:sz w:val="22"/>
              </w:rPr>
              <w:t>$3.937B</w:t>
            </w:r>
          </w:p>
        </w:tc>
        <w:tc>
          <w:tcPr>
            <w:tcW w:type="dxa" w:w="1080"/>
          </w:tcPr>
          <w:p>
            <w:r>
              <w:rPr>
                <w:rFonts w:ascii="Calibri" w:hAnsi="Calibri"/>
                <w:b/>
                <w:color w:val="E5484D"/>
                <w:sz w:val="22"/>
              </w:rPr>
              <w:t>-2.6%</w:t>
            </w:r>
          </w:p>
        </w:tc>
        <w:tc>
          <w:tcPr>
            <w:tcW w:type="dxa" w:w="1080"/>
          </w:tcPr>
          <w:p>
            <w:r>
              <w:rPr>
                <w:rFonts w:ascii="Calibri" w:hAnsi="Calibri"/>
                <w:sz w:val="22"/>
              </w:rPr>
              <w:t>$2.053</w:t>
            </w:r>
          </w:p>
        </w:tc>
        <w:tc>
          <w:tcPr>
            <w:tcW w:type="dxa" w:w="1080"/>
          </w:tcPr>
          <w:p>
            <w:r>
              <w:rPr>
                <w:rFonts w:ascii="Calibri" w:hAnsi="Calibri"/>
                <w:sz w:val="22"/>
              </w:rPr>
              <w:t>$1.902</w:t>
            </w:r>
          </w:p>
        </w:tc>
        <w:tc>
          <w:tcPr>
            <w:tcW w:type="dxa" w:w="1080"/>
          </w:tcPr>
          <w:p>
            <w:r>
              <w:rPr>
                <w:rFonts w:ascii="Calibri" w:hAnsi="Calibri"/>
                <w:b/>
                <w:color w:val="30A46C"/>
                <w:sz w:val="22"/>
              </w:rPr>
              <w:t>+7.9%</w:t>
            </w:r>
          </w:p>
        </w:tc>
        <w:tc>
          <w:tcPr>
            <w:tcW w:type="dxa" w:w="1080"/>
          </w:tcPr>
          <w:p>
            <w:r>
              <w:rPr>
                <w:rFonts w:ascii="Calibri" w:hAnsi="Calibri"/>
                <w:sz w:val="22"/>
              </w:rPr>
              <w:t>Mixed</w:t>
            </w:r>
          </w:p>
        </w:tc>
      </w:tr>
      <w:tr>
        <w:tc>
          <w:tcPr>
            <w:tcW w:type="dxa" w:w="1080"/>
          </w:tcPr>
          <w:p>
            <w:r>
              <w:rPr>
                <w:rFonts w:ascii="Calibri" w:hAnsi="Calibri"/>
                <w:sz w:val="22"/>
              </w:rPr>
              <w:t>Q2 FY25</w:t>
            </w:r>
          </w:p>
        </w:tc>
        <w:tc>
          <w:tcPr>
            <w:tcW w:type="dxa" w:w="1080"/>
          </w:tcPr>
          <w:p>
            <w:r>
              <w:rPr>
                <w:rFonts w:ascii="Calibri" w:hAnsi="Calibri"/>
                <w:sz w:val="22"/>
              </w:rPr>
              <w:t>$4.143B</w:t>
            </w:r>
          </w:p>
        </w:tc>
        <w:tc>
          <w:tcPr>
            <w:tcW w:type="dxa" w:w="1080"/>
          </w:tcPr>
          <w:p>
            <w:r>
              <w:rPr>
                <w:rFonts w:ascii="Calibri" w:hAnsi="Calibri"/>
                <w:sz w:val="22"/>
              </w:rPr>
              <w:t>$3.956B</w:t>
            </w:r>
          </w:p>
        </w:tc>
        <w:tc>
          <w:tcPr>
            <w:tcW w:type="dxa" w:w="1080"/>
          </w:tcPr>
          <w:p>
            <w:r>
              <w:rPr>
                <w:rFonts w:ascii="Calibri" w:hAnsi="Calibri"/>
                <w:b/>
                <w:color w:val="30A46C"/>
                <w:sz w:val="22"/>
              </w:rPr>
              <w:t>+4.7%</w:t>
            </w:r>
          </w:p>
        </w:tc>
        <w:tc>
          <w:tcPr>
            <w:tcW w:type="dxa" w:w="1080"/>
          </w:tcPr>
          <w:p>
            <w:r>
              <w:rPr>
                <w:rFonts w:ascii="Calibri" w:hAnsi="Calibri"/>
                <w:sz w:val="22"/>
              </w:rPr>
              <w:t>$2.213</w:t>
            </w:r>
          </w:p>
        </w:tc>
        <w:tc>
          <w:tcPr>
            <w:tcW w:type="dxa" w:w="1080"/>
          </w:tcPr>
          <w:p>
            <w:r>
              <w:rPr>
                <w:rFonts w:ascii="Calibri" w:hAnsi="Calibri"/>
                <w:sz w:val="22"/>
              </w:rPr>
              <w:t>$1.961</w:t>
            </w:r>
          </w:p>
        </w:tc>
        <w:tc>
          <w:tcPr>
            <w:tcW w:type="dxa" w:w="1080"/>
          </w:tcPr>
          <w:p>
            <w:r>
              <w:rPr>
                <w:rFonts w:ascii="Calibri" w:hAnsi="Calibri"/>
                <w:b/>
                <w:color w:val="30A46C"/>
                <w:sz w:val="22"/>
              </w:rPr>
              <w:t>+12.9%</w:t>
            </w:r>
          </w:p>
        </w:tc>
        <w:tc>
          <w:tcPr>
            <w:tcW w:type="dxa" w:w="1080"/>
          </w:tcPr>
          <w:p>
            <w:r>
              <w:rPr>
                <w:rFonts w:ascii="Calibri" w:hAnsi="Calibri"/>
                <w:sz w:val="22"/>
              </w:rPr>
              <w:t>Beat</w:t>
            </w:r>
          </w:p>
        </w:tc>
      </w:tr>
      <w:tr>
        <w:tc>
          <w:tcPr>
            <w:tcW w:type="dxa" w:w="1080"/>
          </w:tcPr>
          <w:p>
            <w:r>
              <w:rPr>
                <w:rFonts w:ascii="Calibri" w:hAnsi="Calibri"/>
                <w:sz w:val="22"/>
              </w:rPr>
              <w:t>Q3 FY25</w:t>
            </w:r>
          </w:p>
        </w:tc>
        <w:tc>
          <w:tcPr>
            <w:tcW w:type="dxa" w:w="1080"/>
          </w:tcPr>
          <w:p>
            <w:r>
              <w:rPr>
                <w:rFonts w:ascii="Calibri" w:hAnsi="Calibri"/>
                <w:sz w:val="22"/>
              </w:rPr>
              <w:t>$4.534B</w:t>
            </w:r>
          </w:p>
        </w:tc>
        <w:tc>
          <w:tcPr>
            <w:tcW w:type="dxa" w:w="1080"/>
          </w:tcPr>
          <w:p>
            <w:r>
              <w:rPr>
                <w:rFonts w:ascii="Calibri" w:hAnsi="Calibri"/>
                <w:sz w:val="22"/>
              </w:rPr>
              <w:t>$4.317B</w:t>
            </w:r>
          </w:p>
        </w:tc>
        <w:tc>
          <w:tcPr>
            <w:tcW w:type="dxa" w:w="1080"/>
          </w:tcPr>
          <w:p>
            <w:r>
              <w:rPr>
                <w:rFonts w:ascii="Calibri" w:hAnsi="Calibri"/>
                <w:b/>
                <w:color w:val="30A46C"/>
                <w:sz w:val="22"/>
              </w:rPr>
              <w:t>+5.0%</w:t>
            </w:r>
          </w:p>
        </w:tc>
        <w:tc>
          <w:tcPr>
            <w:tcW w:type="dxa" w:w="1080"/>
          </w:tcPr>
          <w:p>
            <w:r>
              <w:rPr>
                <w:rFonts w:ascii="Calibri" w:hAnsi="Calibri"/>
                <w:sz w:val="22"/>
              </w:rPr>
              <w:t>$2.406</w:t>
            </w:r>
          </w:p>
        </w:tc>
        <w:tc>
          <w:tcPr>
            <w:tcW w:type="dxa" w:w="1080"/>
          </w:tcPr>
          <w:p>
            <w:r>
              <w:rPr>
                <w:rFonts w:ascii="Calibri" w:hAnsi="Calibri"/>
                <w:sz w:val="22"/>
              </w:rPr>
              <w:t>$2.080</w:t>
            </w:r>
          </w:p>
        </w:tc>
        <w:tc>
          <w:tcPr>
            <w:tcW w:type="dxa" w:w="1080"/>
          </w:tcPr>
          <w:p>
            <w:r>
              <w:rPr>
                <w:rFonts w:ascii="Calibri" w:hAnsi="Calibri"/>
                <w:b/>
                <w:color w:val="30A46C"/>
                <w:sz w:val="22"/>
              </w:rPr>
              <w:t>+15.7%</w:t>
            </w:r>
          </w:p>
        </w:tc>
        <w:tc>
          <w:tcPr>
            <w:tcW w:type="dxa" w:w="1080"/>
          </w:tcPr>
          <w:p>
            <w:r>
              <w:rPr>
                <w:rFonts w:ascii="Calibri" w:hAnsi="Calibri"/>
                <w:sz w:val="22"/>
              </w:rPr>
              <w:t>Beat</w:t>
            </w:r>
          </w:p>
        </w:tc>
      </w:tr>
      <w:tr>
        <w:tc>
          <w:tcPr>
            <w:tcW w:type="dxa" w:w="1080"/>
          </w:tcPr>
          <w:p>
            <w:r>
              <w:rPr>
                <w:rFonts w:ascii="Calibri" w:hAnsi="Calibri"/>
                <w:sz w:val="22"/>
              </w:rPr>
              <w:t>Q4 FY25</w:t>
            </w:r>
          </w:p>
        </w:tc>
        <w:tc>
          <w:tcPr>
            <w:tcW w:type="dxa" w:w="1080"/>
          </w:tcPr>
          <w:p>
            <w:r>
              <w:rPr>
                <w:rFonts w:ascii="Calibri" w:hAnsi="Calibri"/>
                <w:sz w:val="22"/>
              </w:rPr>
              <w:t>$4.749B</w:t>
            </w:r>
          </w:p>
        </w:tc>
        <w:tc>
          <w:tcPr>
            <w:tcW w:type="dxa" w:w="1080"/>
          </w:tcPr>
          <w:p>
            <w:r>
              <w:rPr>
                <w:rFonts w:ascii="Calibri" w:hAnsi="Calibri"/>
                <w:sz w:val="22"/>
              </w:rPr>
              <w:t>$4.595B</w:t>
            </w:r>
          </w:p>
        </w:tc>
        <w:tc>
          <w:tcPr>
            <w:tcW w:type="dxa" w:w="1080"/>
          </w:tcPr>
          <w:p>
            <w:r>
              <w:rPr>
                <w:rFonts w:ascii="Calibri" w:hAnsi="Calibri"/>
                <w:b/>
                <w:color w:val="30A46C"/>
                <w:sz w:val="22"/>
              </w:rPr>
              <w:t>+3.4%</w:t>
            </w:r>
          </w:p>
        </w:tc>
        <w:tc>
          <w:tcPr>
            <w:tcW w:type="dxa" w:w="1080"/>
          </w:tcPr>
          <w:p>
            <w:r>
              <w:rPr>
                <w:rFonts w:ascii="Calibri" w:hAnsi="Calibri"/>
                <w:sz w:val="22"/>
              </w:rPr>
              <w:t>$2.591</w:t>
            </w:r>
          </w:p>
        </w:tc>
        <w:tc>
          <w:tcPr>
            <w:tcW w:type="dxa" w:w="1080"/>
          </w:tcPr>
          <w:p>
            <w:r>
              <w:rPr>
                <w:rFonts w:ascii="Calibri" w:hAnsi="Calibri"/>
                <w:sz w:val="22"/>
              </w:rPr>
              <w:t>$2.299</w:t>
            </w:r>
          </w:p>
        </w:tc>
        <w:tc>
          <w:tcPr>
            <w:tcW w:type="dxa" w:w="1080"/>
          </w:tcPr>
          <w:p>
            <w:r>
              <w:rPr>
                <w:rFonts w:ascii="Calibri" w:hAnsi="Calibri"/>
                <w:b/>
                <w:color w:val="30A46C"/>
                <w:sz w:val="22"/>
              </w:rPr>
              <w:t>+12.7%</w:t>
            </w:r>
          </w:p>
        </w:tc>
        <w:tc>
          <w:tcPr>
            <w:tcW w:type="dxa" w:w="1080"/>
          </w:tcPr>
          <w:p>
            <w:r>
              <w:rPr>
                <w:rFonts w:ascii="Calibri" w:hAnsi="Calibri"/>
                <w:sz w:val="22"/>
              </w:rPr>
              <w:t>Beat</w:t>
            </w:r>
          </w:p>
        </w:tc>
      </w:tr>
      <w:tr>
        <w:tc>
          <w:tcPr>
            <w:tcW w:type="dxa" w:w="1080"/>
          </w:tcPr>
          <w:p>
            <w:r>
              <w:rPr>
                <w:rFonts w:ascii="Calibri" w:hAnsi="Calibri"/>
                <w:sz w:val="22"/>
              </w:rPr>
              <w:t>Q1 FY26</w:t>
            </w:r>
          </w:p>
        </w:tc>
        <w:tc>
          <w:tcPr>
            <w:tcW w:type="dxa" w:w="1080"/>
          </w:tcPr>
          <w:p>
            <w:r>
              <w:rPr>
                <w:rFonts w:ascii="Calibri" w:hAnsi="Calibri"/>
                <w:sz w:val="22"/>
              </w:rPr>
              <w:t>$4.669B</w:t>
            </w:r>
          </w:p>
        </w:tc>
        <w:tc>
          <w:tcPr>
            <w:tcW w:type="dxa" w:w="1080"/>
          </w:tcPr>
          <w:p>
            <w:r>
              <w:rPr>
                <w:rFonts w:ascii="Calibri" w:hAnsi="Calibri"/>
                <w:sz w:val="22"/>
              </w:rPr>
              <w:t>$4.535B</w:t>
            </w:r>
          </w:p>
        </w:tc>
        <w:tc>
          <w:tcPr>
            <w:tcW w:type="dxa" w:w="1080"/>
          </w:tcPr>
          <w:p>
            <w:r>
              <w:rPr>
                <w:rFonts w:ascii="Calibri" w:hAnsi="Calibri"/>
                <w:b/>
                <w:color w:val="30A46C"/>
                <w:sz w:val="22"/>
              </w:rPr>
              <w:t>+3.0%</w:t>
            </w:r>
          </w:p>
        </w:tc>
        <w:tc>
          <w:tcPr>
            <w:tcW w:type="dxa" w:w="1080"/>
          </w:tcPr>
          <w:p>
            <w:r>
              <w:rPr>
                <w:rFonts w:ascii="Calibri" w:hAnsi="Calibri"/>
                <w:sz w:val="22"/>
              </w:rPr>
              <w:t>$2.721</w:t>
            </w:r>
          </w:p>
        </w:tc>
        <w:tc>
          <w:tcPr>
            <w:tcW w:type="dxa" w:w="1080"/>
          </w:tcPr>
          <w:p>
            <w:r>
              <w:rPr>
                <w:rFonts w:ascii="Calibri" w:hAnsi="Calibri"/>
                <w:sz w:val="22"/>
              </w:rPr>
              <w:t>$2.547</w:t>
            </w:r>
          </w:p>
        </w:tc>
        <w:tc>
          <w:tcPr>
            <w:tcW w:type="dxa" w:w="1080"/>
          </w:tcPr>
          <w:p>
            <w:r>
              <w:rPr>
                <w:rFonts w:ascii="Calibri" w:hAnsi="Calibri"/>
                <w:b/>
                <w:color w:val="30A46C"/>
                <w:sz w:val="22"/>
              </w:rPr>
              <w:t>+6.8%</w:t>
            </w:r>
          </w:p>
        </w:tc>
        <w:tc>
          <w:tcPr>
            <w:tcW w:type="dxa" w:w="1080"/>
          </w:tcPr>
          <w:p>
            <w:r>
              <w:rPr>
                <w:rFonts w:ascii="Calibri" w:hAnsi="Calibri"/>
                <w:sz w:val="22"/>
              </w:rPr>
              <w:t>Beat</w:t>
            </w:r>
          </w:p>
        </w:tc>
      </w:tr>
      <w:tr>
        <w:tc>
          <w:tcPr>
            <w:tcW w:type="dxa" w:w="1080"/>
          </w:tcPr>
          <w:p>
            <w:r>
              <w:rPr>
                <w:rFonts w:ascii="Calibri" w:hAnsi="Calibri"/>
                <w:sz w:val="22"/>
              </w:rPr>
              <w:t>Q2 FY26</w:t>
            </w:r>
          </w:p>
        </w:tc>
        <w:tc>
          <w:tcPr>
            <w:tcW w:type="dxa" w:w="1080"/>
          </w:tcPr>
          <w:p>
            <w:r>
              <w:rPr>
                <w:rFonts w:ascii="Calibri" w:hAnsi="Calibri"/>
                <w:sz w:val="22"/>
              </w:rPr>
              <w:t>$4.744B</w:t>
            </w:r>
          </w:p>
        </w:tc>
        <w:tc>
          <w:tcPr>
            <w:tcW w:type="dxa" w:w="1080"/>
          </w:tcPr>
          <w:p>
            <w:r>
              <w:rPr>
                <w:rFonts w:ascii="Calibri" w:hAnsi="Calibri"/>
                <w:sz w:val="22"/>
              </w:rPr>
              <w:t>$4.758B</w:t>
            </w:r>
          </w:p>
        </w:tc>
        <w:tc>
          <w:tcPr>
            <w:tcW w:type="dxa" w:w="1080"/>
          </w:tcPr>
          <w:p>
            <w:r>
              <w:rPr>
                <w:rFonts w:ascii="Calibri" w:hAnsi="Calibri"/>
                <w:sz w:val="22"/>
              </w:rPr>
              <w:t>-0.3%</w:t>
            </w:r>
          </w:p>
        </w:tc>
        <w:tc>
          <w:tcPr>
            <w:tcW w:type="dxa" w:w="1080"/>
          </w:tcPr>
          <w:p>
            <w:r>
              <w:rPr>
                <w:rFonts w:ascii="Calibri" w:hAnsi="Calibri"/>
                <w:sz w:val="22"/>
              </w:rPr>
              <w:t>$2.725</w:t>
            </w:r>
          </w:p>
        </w:tc>
        <w:tc>
          <w:tcPr>
            <w:tcW w:type="dxa" w:w="1080"/>
          </w:tcPr>
          <w:p>
            <w:r>
              <w:rPr>
                <w:rFonts w:ascii="Calibri" w:hAnsi="Calibri"/>
                <w:sz w:val="22"/>
              </w:rPr>
              <w:t>$2.703</w:t>
            </w:r>
          </w:p>
        </w:tc>
        <w:tc>
          <w:tcPr>
            <w:tcW w:type="dxa" w:w="1080"/>
          </w:tcPr>
          <w:p>
            <w:r>
              <w:rPr>
                <w:rFonts w:ascii="Calibri" w:hAnsi="Calibri"/>
                <w:b/>
                <w:color w:val="30A46C"/>
                <w:sz w:val="22"/>
              </w:rPr>
              <w:t>+0.8%</w:t>
            </w:r>
          </w:p>
        </w:tc>
        <w:tc>
          <w:tcPr>
            <w:tcW w:type="dxa" w:w="1080"/>
          </w:tcPr>
          <w:p>
            <w:r>
              <w:rPr>
                <w:rFonts w:ascii="Calibri" w:hAnsi="Calibri"/>
                <w:sz w:val="22"/>
              </w:rPr>
              <w:t>Beat (EPS)</w:t>
            </w:r>
          </w:p>
        </w:tc>
      </w:tr>
    </w:tbl>
    <w:p>
      <w:r>
        <w:rPr>
          <w:rFonts w:ascii="Calibri" w:hAnsi="Calibri"/>
          <w:b/>
          <w:color w:val="525866"/>
          <w:sz w:val="22"/>
        </w:rPr>
        <w:t xml:space="preserve">Pattern: </w:t>
      </w:r>
      <w:r>
        <w:rPr>
          <w:rFonts w:ascii="Calibri" w:hAnsi="Calibri"/>
          <w:color w:val="525866"/>
          <w:sz w:val="22"/>
        </w:rPr>
        <w:t>TEL has beaten adj. EPS consensus in all 8 of the last 8 quarters, with an average EPS surprise of +8.8%; revenue beats have been more mixed (6 of 8), with the two misses driven by macro softness in FY24. The consistent EPS beat pattern reflects strong operational leverage and management's conservative guidance approach.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posture has shifted to highly confident since Q2 earnings — the second consecutive AI revenue guidance raise (entirely in 2H FY26), record orders, and Bernstein conference commentary characterizing industrial recoveries as 'early inflection' all signal a company with strong forward visibility and no signs of demand softening.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FY26 Earnings Call, Apr 22,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Q3 FY26 Net Sales</w:t>
            </w:r>
          </w:p>
        </w:tc>
        <w:tc>
          <w:tcPr>
            <w:tcW w:type="dxa" w:w="1728"/>
          </w:tcPr>
          <w:p>
            <w:r>
              <w:rPr>
                <w:rFonts w:ascii="Calibri" w:hAnsi="Calibri"/>
                <w:sz w:val="22"/>
              </w:rPr>
              <w:t>$5.000B</w:t>
            </w:r>
          </w:p>
        </w:tc>
        <w:tc>
          <w:tcPr>
            <w:tcW w:type="dxa" w:w="1728"/>
          </w:tcPr>
          <w:p>
            <w:r>
              <w:rPr>
                <w:rFonts w:ascii="Calibri" w:hAnsi="Calibri"/>
                <w:sz w:val="22"/>
              </w:rPr>
              <w:t>—</w:t>
            </w:r>
          </w:p>
        </w:tc>
        <w:tc>
          <w:tcPr>
            <w:tcW w:type="dxa" w:w="1728"/>
          </w:tcPr>
          <w:p>
            <w:r>
              <w:rPr>
                <w:rFonts w:ascii="Calibri" w:hAnsi="Calibri"/>
                <w:sz w:val="22"/>
              </w:rPr>
              <w:t>$5.015B</w:t>
            </w:r>
          </w:p>
        </w:tc>
        <w:tc>
          <w:tcPr>
            <w:tcW w:type="dxa" w:w="1728"/>
          </w:tcPr>
          <w:p>
            <w:r>
              <w:rPr>
                <w:rFonts w:ascii="Calibri" w:hAnsi="Calibri"/>
                <w:sz w:val="22"/>
              </w:rPr>
              <w:t>Consensus +0.3% above guidance midpoint; no post-earnings revision to guidance</w:t>
            </w:r>
          </w:p>
        </w:tc>
      </w:tr>
      <w:tr>
        <w:tc>
          <w:tcPr>
            <w:tcW w:type="dxa" w:w="1728"/>
          </w:tcPr>
          <w:p>
            <w:r>
              <w:rPr>
                <w:rFonts w:ascii="Calibri" w:hAnsi="Calibri"/>
                <w:sz w:val="22"/>
              </w:rPr>
              <w:t>Q3 FY26 Adj. EPS</w:t>
            </w:r>
          </w:p>
        </w:tc>
        <w:tc>
          <w:tcPr>
            <w:tcW w:type="dxa" w:w="1728"/>
          </w:tcPr>
          <w:p>
            <w:r>
              <w:rPr>
                <w:rFonts w:ascii="Calibri" w:hAnsi="Calibri"/>
                <w:sz w:val="22"/>
              </w:rPr>
              <w:t>~$2.83</w:t>
            </w:r>
          </w:p>
        </w:tc>
        <w:tc>
          <w:tcPr>
            <w:tcW w:type="dxa" w:w="1728"/>
          </w:tcPr>
          <w:p>
            <w:r>
              <w:rPr>
                <w:rFonts w:ascii="Calibri" w:hAnsi="Calibri"/>
                <w:sz w:val="22"/>
              </w:rPr>
              <w:t>—</w:t>
            </w:r>
          </w:p>
        </w:tc>
        <w:tc>
          <w:tcPr>
            <w:tcW w:type="dxa" w:w="1728"/>
          </w:tcPr>
          <w:p>
            <w:r>
              <w:rPr>
                <w:rFonts w:ascii="Calibri" w:hAnsi="Calibri"/>
                <w:sz w:val="22"/>
              </w:rPr>
              <w:t>$2.849</w:t>
            </w:r>
          </w:p>
        </w:tc>
        <w:tc>
          <w:tcPr>
            <w:tcW w:type="dxa" w:w="1728"/>
          </w:tcPr>
          <w:p>
            <w:r>
              <w:rPr>
                <w:rFonts w:ascii="Calibri" w:hAnsi="Calibri"/>
                <w:sz w:val="22"/>
              </w:rPr>
              <w:t>Consensus +0.7% above guidance; estimates drifted slightly higher post-print</w:t>
            </w:r>
          </w:p>
        </w:tc>
      </w:tr>
      <w:tr>
        <w:tc>
          <w:tcPr>
            <w:tcW w:type="dxa" w:w="1728"/>
          </w:tcPr>
          <w:p>
            <w:r>
              <w:rPr>
                <w:rFonts w:ascii="Calibri" w:hAnsi="Calibri"/>
                <w:sz w:val="22"/>
              </w:rPr>
              <w:t>Q3 FY26 Organic Growth</w:t>
            </w:r>
          </w:p>
        </w:tc>
        <w:tc>
          <w:tcPr>
            <w:tcW w:type="dxa" w:w="1728"/>
          </w:tcPr>
          <w:p>
            <w:r>
              <w:rPr>
                <w:rFonts w:ascii="Calibri" w:hAnsi="Calibri"/>
                <w:sz w:val="22"/>
              </w:rPr>
              <w:t>High-single-digit</w:t>
            </w:r>
          </w:p>
        </w:tc>
        <w:tc>
          <w:tcPr>
            <w:tcW w:type="dxa" w:w="1728"/>
          </w:tcPr>
          <w:p>
            <w:r>
              <w:rPr>
                <w:rFonts w:ascii="Calibri" w:hAnsi="Calibri"/>
                <w:sz w:val="22"/>
              </w:rPr>
              <w:t>—</w:t>
            </w:r>
          </w:p>
        </w:tc>
        <w:tc>
          <w:tcPr>
            <w:tcW w:type="dxa" w:w="1728"/>
          </w:tcPr>
          <w:p>
            <w:r>
              <w:rPr>
                <w:rFonts w:ascii="Calibri" w:hAnsi="Calibri"/>
                <w:sz w:val="22"/>
              </w:rPr>
              <w:t>~8.9%</w:t>
            </w:r>
          </w:p>
        </w:tc>
        <w:tc>
          <w:tcPr>
            <w:tcW w:type="dxa" w:w="1728"/>
          </w:tcPr>
          <w:p>
            <w:r>
              <w:rPr>
                <w:rFonts w:ascii="Calibri" w:hAnsi="Calibri"/>
                <w:sz w:val="22"/>
              </w:rPr>
              <w:t>Consensus in-line with guidance; reacceleration from Q2's 7.2%</w:t>
            </w:r>
          </w:p>
        </w:tc>
      </w:tr>
      <w:tr>
        <w:tc>
          <w:tcPr>
            <w:tcW w:type="dxa" w:w="1728"/>
          </w:tcPr>
          <w:p>
            <w:r>
              <w:rPr>
                <w:rFonts w:ascii="Calibri" w:hAnsi="Calibri"/>
                <w:sz w:val="22"/>
              </w:rPr>
              <w:t>FY26 AI Revenue (DDN)</w:t>
            </w:r>
          </w:p>
        </w:tc>
        <w:tc>
          <w:tcPr>
            <w:tcW w:type="dxa" w:w="1728"/>
          </w:tcPr>
          <w:p>
            <w:r>
              <w:rPr>
                <w:rFonts w:ascii="Calibri" w:hAnsi="Calibri"/>
                <w:sz w:val="22"/>
              </w:rPr>
              <w:t>~$2.4B (approaching); raised $150M vs. 90 days prior, entirely in 2H</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Second consecutive quarter of AI revenue guidance raise; CEO confirmed at Bernstein (May 14) that order momentum continues to be very strong</w:t>
            </w:r>
          </w:p>
        </w:tc>
      </w:tr>
      <w:tr>
        <w:tc>
          <w:tcPr>
            <w:tcW w:type="dxa" w:w="1728"/>
          </w:tcPr>
          <w:p>
            <w:r>
              <w:rPr>
                <w:rFonts w:ascii="Calibri" w:hAnsi="Calibri"/>
                <w:sz w:val="22"/>
              </w:rPr>
              <w:t>FY26 Adj. Operating Margin</w:t>
            </w:r>
          </w:p>
        </w:tc>
        <w:tc>
          <w:tcPr>
            <w:tcW w:type="dxa" w:w="1728"/>
          </w:tcPr>
          <w:p>
            <w:r>
              <w:rPr>
                <w:rFonts w:ascii="Calibri" w:hAnsi="Calibri"/>
                <w:sz w:val="22"/>
              </w:rPr>
              <w:t>~22%; 30%+ incremental margins</w:t>
            </w:r>
          </w:p>
        </w:tc>
        <w:tc>
          <w:tcPr>
            <w:tcW w:type="dxa" w:w="1728"/>
          </w:tcPr>
          <w:p>
            <w:r>
              <w:rPr>
                <w:rFonts w:ascii="Calibri" w:hAnsi="Calibri"/>
                <w:sz w:val="22"/>
              </w:rPr>
              <w:t>—</w:t>
            </w:r>
          </w:p>
        </w:tc>
        <w:tc>
          <w:tcPr>
            <w:tcW w:type="dxa" w:w="1728"/>
          </w:tcPr>
          <w:p>
            <w:r>
              <w:rPr>
                <w:rFonts w:ascii="Calibri" w:hAnsi="Calibri"/>
                <w:sz w:val="22"/>
              </w:rPr>
              <w:t>21.9%</w:t>
            </w:r>
          </w:p>
        </w:tc>
        <w:tc>
          <w:tcPr>
            <w:tcW w:type="dxa" w:w="1728"/>
          </w:tcPr>
          <w:p>
            <w:r>
              <w:rPr>
                <w:rFonts w:ascii="Calibri" w:hAnsi="Calibri"/>
                <w:sz w:val="22"/>
              </w:rPr>
              <w:t>Consensus slightly below management's ~22% target; management committed to at least 30% flow-through</w:t>
            </w:r>
          </w:p>
        </w:tc>
      </w:tr>
      <w:tr>
        <w:tc>
          <w:tcPr>
            <w:tcW w:type="dxa" w:w="1728"/>
          </w:tcPr>
          <w:p>
            <w:r>
              <w:rPr>
                <w:rFonts w:ascii="Calibri" w:hAnsi="Calibri"/>
                <w:sz w:val="22"/>
              </w:rPr>
              <w:t>FY26 CapEx</w:t>
            </w:r>
          </w:p>
        </w:tc>
        <w:tc>
          <w:tcPr>
            <w:tcW w:type="dxa" w:w="1728"/>
          </w:tcPr>
          <w:p>
            <w:r>
              <w:rPr>
                <w:rFonts w:ascii="Calibri" w:hAnsi="Calibri"/>
                <w:sz w:val="22"/>
              </w:rPr>
              <w:t>~6% of revenue (raised from ~5%+); almost entirely DDN AI program ramps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Elevated CapEx tied to specific awarded AI programs; management confirmed at Bernstein that investments are demand-driven</w:t>
            </w:r>
          </w:p>
        </w:tc>
      </w:tr>
      <w:tr>
        <w:tc>
          <w:tcPr>
            <w:tcW w:type="dxa" w:w="1728"/>
          </w:tcPr>
          <w:p>
            <w:r>
              <w:rPr>
                <w:rFonts w:ascii="Calibri" w:hAnsi="Calibri"/>
                <w:sz w:val="22"/>
              </w:rPr>
              <w:t>Through-Cycle Growth Target</w:t>
            </w:r>
          </w:p>
        </w:tc>
        <w:tc>
          <w:tcPr>
            <w:tcW w:type="dxa" w:w="1728"/>
          </w:tcPr>
          <w:p>
            <w:r>
              <w:rPr>
                <w:rFonts w:ascii="Calibri" w:hAnsi="Calibri"/>
                <w:sz w:val="22"/>
              </w:rPr>
              <w:t>6-8% (upgraded from 4-6% at Nov 2025 Investor Day); FY26 expected well above target</w:t>
            </w:r>
          </w:p>
        </w:tc>
        <w:tc>
          <w:tcPr>
            <w:tcW w:type="dxa" w:w="1728"/>
          </w:tcPr>
          <w:p>
            <w:r>
              <w:rPr>
                <w:rFonts w:ascii="Calibri" w:hAnsi="Calibri"/>
                <w:sz w:val="22"/>
              </w:rPr>
              <w:t>—</w:t>
            </w:r>
          </w:p>
        </w:tc>
        <w:tc>
          <w:tcPr>
            <w:tcW w:type="dxa" w:w="1728"/>
          </w:tcPr>
          <w:p>
            <w:r>
              <w:rPr>
                <w:rFonts w:ascii="Calibri" w:hAnsi="Calibri"/>
                <w:sz w:val="22"/>
              </w:rPr>
              <w:t>FY26 organic growth ~9.8% (VA consensus)</w:t>
            </w:r>
          </w:p>
        </w:tc>
        <w:tc>
          <w:tcPr>
            <w:tcW w:type="dxa" w:w="1728"/>
          </w:tcPr>
          <w:p>
            <w:r>
              <w:rPr>
                <w:rFonts w:ascii="Calibri" w:hAnsi="Calibri"/>
                <w:sz w:val="22"/>
              </w:rPr>
              <w:t>Management expects to be 'well ahead' of 6-8% target in FY26; Bernstein commentary reinforced confidence</w:t>
            </w:r>
          </w:p>
        </w:tc>
      </w:tr>
    </w:tbl>
    <w:p>
      <w:r>
        <w:rPr>
          <w:rFonts w:ascii="Calibri" w:hAnsi="Calibri"/>
          <w:b/>
          <w:color w:val="525866"/>
          <w:sz w:val="22"/>
        </w:rPr>
        <w:t xml:space="preserve">Tone shift since Q2 earnings: </w:t>
      </w:r>
      <w:r>
        <w:rPr>
          <w:rFonts w:ascii="Calibri" w:hAnsi="Calibri"/>
          <w:color w:val="525866"/>
          <w:sz w:val="22"/>
        </w:rPr>
        <w:t>At the May 14 Bernstein Strategic Decisions Conference, CEO characterized both factory automation and commercial transportation recoveries as 'early inflection' with both businesses 'well below prior peak levels,' suggesting meaningful runway ahead. Management also provided new granular detail on the energy business (~2/3 North America grid hardening, ~1/5 data center power connections) and quantified EV content at ~2x ICE vehicles. The copper-and-optical framing (not 'or') introduced at Q2 earnings was reinforced, with the RAM Photonics acquisition positioned as additive to the AI content opportunity in scale-out architectures.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tracked guidance closely with a slight upward drift since Q2 earnings — both Q3 FY26 and FY26 full-year consensus are modestly above the post-print baseline, suggesting the street has incrementally gained confidence in the AI ramp story without getting ahead of management's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(Post-Q2 Baseline)</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Net Sales (Q3 FY26)</w:t>
            </w:r>
          </w:p>
        </w:tc>
        <w:tc>
          <w:tcPr>
            <w:tcW w:type="dxa" w:w="1080"/>
          </w:tcPr>
          <w:p>
            <w:r>
              <w:rPr>
                <w:rFonts w:ascii="Calibri" w:hAnsi="Calibri"/>
                <w:sz w:val="22"/>
              </w:rPr>
              <w:t>$5.011B</w:t>
            </w:r>
          </w:p>
        </w:tc>
        <w:tc>
          <w:tcPr>
            <w:tcW w:type="dxa" w:w="1080"/>
          </w:tcPr>
          <w:p>
            <w:r>
              <w:rPr>
                <w:rFonts w:ascii="Calibri" w:hAnsi="Calibri"/>
                <w:sz w:val="22"/>
              </w:rPr>
              <w:t>$5.015B</w:t>
            </w:r>
          </w:p>
        </w:tc>
        <w:tc>
          <w:tcPr>
            <w:tcW w:type="dxa" w:w="1080"/>
          </w:tcPr>
          <w:p>
            <w:r>
              <w:rPr>
                <w:rFonts w:ascii="Calibri" w:hAnsi="Calibri"/>
                <w:sz w:val="22"/>
              </w:rPr>
              <w:t>+0.1%</w:t>
            </w:r>
          </w:p>
        </w:tc>
        <w:tc>
          <w:tcPr>
            <w:tcW w:type="dxa" w:w="1080"/>
          </w:tcPr>
          <w:p>
            <w:r>
              <w:rPr>
                <w:rFonts w:ascii="Calibri" w:hAnsi="Calibri"/>
                <w:sz w:val="22"/>
              </w:rPr>
              <w:t>$5.000B</w:t>
            </w:r>
          </w:p>
        </w:tc>
        <w:tc>
          <w:tcPr>
            <w:tcW w:type="dxa" w:w="1080"/>
          </w:tcPr>
          <w:p>
            <w:r>
              <w:rPr>
                <w:rFonts w:ascii="Calibri" w:hAnsi="Calibri"/>
                <w:sz w:val="22"/>
              </w:rPr>
              <w:t>$5.000B (unchanged)</w:t>
            </w:r>
          </w:p>
        </w:tc>
        <w:tc>
          <w:tcPr>
            <w:tcW w:type="dxa" w:w="1080"/>
          </w:tcPr>
          <w:p>
            <w:r>
              <w:rPr>
                <w:rFonts w:ascii="Calibri" w:hAnsi="Calibri"/>
                <w:sz w:val="22"/>
              </w:rPr>
              <w:t>Flat</w:t>
            </w:r>
          </w:p>
        </w:tc>
        <w:tc>
          <w:tcPr>
            <w:tcW w:type="dxa" w:w="1080"/>
          </w:tcPr>
          <w:p>
            <w:r>
              <w:rPr>
                <w:rFonts w:ascii="Calibri" w:hAnsi="Calibri"/>
                <w:sz w:val="22"/>
              </w:rPr>
              <w:t>+0.3%</w:t>
            </w:r>
          </w:p>
        </w:tc>
      </w:tr>
      <w:tr>
        <w:tc>
          <w:tcPr>
            <w:tcW w:type="dxa" w:w="1080"/>
          </w:tcPr>
          <w:p>
            <w:r>
              <w:rPr>
                <w:rFonts w:ascii="Calibri" w:hAnsi="Calibri"/>
                <w:sz w:val="22"/>
              </w:rPr>
              <w:t>Adj. EPS (Q3 FY26)</w:t>
            </w:r>
          </w:p>
        </w:tc>
        <w:tc>
          <w:tcPr>
            <w:tcW w:type="dxa" w:w="1080"/>
          </w:tcPr>
          <w:p>
            <w:r>
              <w:rPr>
                <w:rFonts w:ascii="Calibri" w:hAnsi="Calibri"/>
                <w:sz w:val="22"/>
              </w:rPr>
              <w:t>$2.841</w:t>
            </w:r>
          </w:p>
        </w:tc>
        <w:tc>
          <w:tcPr>
            <w:tcW w:type="dxa" w:w="1080"/>
          </w:tcPr>
          <w:p>
            <w:r>
              <w:rPr>
                <w:rFonts w:ascii="Calibri" w:hAnsi="Calibri"/>
                <w:sz w:val="22"/>
              </w:rPr>
              <w:t>$2.849</w:t>
            </w:r>
          </w:p>
        </w:tc>
        <w:tc>
          <w:tcPr>
            <w:tcW w:type="dxa" w:w="1080"/>
          </w:tcPr>
          <w:p>
            <w:r>
              <w:rPr>
                <w:rFonts w:ascii="Calibri" w:hAnsi="Calibri"/>
                <w:sz w:val="22"/>
              </w:rPr>
              <w:t>+0.3%</w:t>
            </w:r>
          </w:p>
        </w:tc>
        <w:tc>
          <w:tcPr>
            <w:tcW w:type="dxa" w:w="1080"/>
          </w:tcPr>
          <w:p>
            <w:r>
              <w:rPr>
                <w:rFonts w:ascii="Calibri" w:hAnsi="Calibri"/>
                <w:sz w:val="22"/>
              </w:rPr>
              <w:t>~$2.83</w:t>
            </w:r>
          </w:p>
        </w:tc>
        <w:tc>
          <w:tcPr>
            <w:tcW w:type="dxa" w:w="1080"/>
          </w:tcPr>
          <w:p>
            <w:r>
              <w:rPr>
                <w:rFonts w:ascii="Calibri" w:hAnsi="Calibri"/>
                <w:sz w:val="22"/>
              </w:rPr>
              <w:t>~$2.83 (unchanged)</w:t>
            </w:r>
          </w:p>
        </w:tc>
        <w:tc>
          <w:tcPr>
            <w:tcW w:type="dxa" w:w="1080"/>
          </w:tcPr>
          <w:p>
            <w:r>
              <w:rPr>
                <w:rFonts w:ascii="Calibri" w:hAnsi="Calibri"/>
                <w:sz w:val="22"/>
              </w:rPr>
              <w:t>Flat</w:t>
            </w:r>
          </w:p>
        </w:tc>
        <w:tc>
          <w:tcPr>
            <w:tcW w:type="dxa" w:w="1080"/>
          </w:tcPr>
          <w:p>
            <w:r>
              <w:rPr>
                <w:rFonts w:ascii="Calibri" w:hAnsi="Calibri"/>
                <w:sz w:val="22"/>
              </w:rPr>
              <w:t>+0.7%</w:t>
            </w:r>
          </w:p>
        </w:tc>
      </w:tr>
      <w:tr>
        <w:tc>
          <w:tcPr>
            <w:tcW w:type="dxa" w:w="1080"/>
          </w:tcPr>
          <w:p>
            <w:r>
              <w:rPr>
                <w:rFonts w:ascii="Calibri" w:hAnsi="Calibri"/>
                <w:sz w:val="22"/>
              </w:rPr>
              <w:t>Organic Growth Rate (Q3 FY26)</w:t>
            </w:r>
          </w:p>
        </w:tc>
        <w:tc>
          <w:tcPr>
            <w:tcW w:type="dxa" w:w="1080"/>
          </w:tcPr>
          <w:p>
            <w:r>
              <w:rPr>
                <w:rFonts w:ascii="Calibri" w:hAnsi="Calibri"/>
                <w:sz w:val="22"/>
              </w:rPr>
              <w:t>~9.0%</w:t>
            </w:r>
          </w:p>
        </w:tc>
        <w:tc>
          <w:tcPr>
            <w:tcW w:type="dxa" w:w="1080"/>
          </w:tcPr>
          <w:p>
            <w:r>
              <w:rPr>
                <w:rFonts w:ascii="Calibri" w:hAnsi="Calibri"/>
                <w:sz w:val="22"/>
              </w:rPr>
              <w:t>~8.9%</w:t>
            </w:r>
          </w:p>
        </w:tc>
        <w:tc>
          <w:tcPr>
            <w:tcW w:type="dxa" w:w="1080"/>
          </w:tcPr>
          <w:p>
            <w:r>
              <w:rPr>
                <w:rFonts w:ascii="Calibri" w:hAnsi="Calibri"/>
                <w:sz w:val="22"/>
              </w:rPr>
              <w:t>-0.1%</w:t>
            </w:r>
          </w:p>
        </w:tc>
        <w:tc>
          <w:tcPr>
            <w:tcW w:type="dxa" w:w="1080"/>
          </w:tcPr>
          <w:p>
            <w:r>
              <w:rPr>
                <w:rFonts w:ascii="Calibri" w:hAnsi="Calibri"/>
                <w:sz w:val="22"/>
              </w:rPr>
              <w:t>High-single-digit</w:t>
            </w:r>
          </w:p>
        </w:tc>
        <w:tc>
          <w:tcPr>
            <w:tcW w:type="dxa" w:w="1080"/>
          </w:tcPr>
          <w:p>
            <w:r>
              <w:rPr>
                <w:rFonts w:ascii="Calibri" w:hAnsi="Calibri"/>
                <w:sz w:val="22"/>
              </w:rPr>
              <w:t>High-single-digit (unchanged)</w:t>
            </w:r>
          </w:p>
        </w:tc>
        <w:tc>
          <w:tcPr>
            <w:tcW w:type="dxa" w:w="1080"/>
          </w:tcPr>
          <w:p>
            <w:r>
              <w:rPr>
                <w:rFonts w:ascii="Calibri" w:hAnsi="Calibri"/>
                <w:sz w:val="22"/>
              </w:rPr>
              <w:t>Flat</w:t>
            </w:r>
          </w:p>
        </w:tc>
        <w:tc>
          <w:tcPr>
            <w:tcW w:type="dxa" w:w="1080"/>
          </w:tcPr>
          <w:p>
            <w:r>
              <w:rPr>
                <w:rFonts w:ascii="Calibri" w:hAnsi="Calibri"/>
                <w:sz w:val="22"/>
              </w:rPr>
              <w:t>In-line</w:t>
            </w:r>
          </w:p>
        </w:tc>
      </w:tr>
      <w:tr>
        <w:tc>
          <w:tcPr>
            <w:tcW w:type="dxa" w:w="1080"/>
          </w:tcPr>
          <w:p>
            <w:r>
              <w:rPr>
                <w:rFonts w:ascii="Calibri" w:hAnsi="Calibri"/>
                <w:sz w:val="22"/>
              </w:rPr>
              <w:t>Net Sales (FY26)</w:t>
            </w:r>
          </w:p>
        </w:tc>
        <w:tc>
          <w:tcPr>
            <w:tcW w:type="dxa" w:w="1080"/>
          </w:tcPr>
          <w:p>
            <w:r>
              <w:rPr>
                <w:rFonts w:ascii="Calibri" w:hAnsi="Calibri"/>
                <w:sz w:val="22"/>
              </w:rPr>
              <w:t>$19.596B</w:t>
            </w:r>
          </w:p>
        </w:tc>
        <w:tc>
          <w:tcPr>
            <w:tcW w:type="dxa" w:w="1080"/>
          </w:tcPr>
          <w:p>
            <w:r>
              <w:rPr>
                <w:rFonts w:ascii="Calibri" w:hAnsi="Calibri"/>
                <w:sz w:val="22"/>
              </w:rPr>
              <w:t>$19.609B</w:t>
            </w:r>
          </w:p>
        </w:tc>
        <w:tc>
          <w:tcPr>
            <w:tcW w:type="dxa" w:w="1080"/>
          </w:tcPr>
          <w:p>
            <w:r>
              <w:rPr>
                <w:rFonts w:ascii="Calibri" w:hAnsi="Calibri"/>
                <w:sz w:val="22"/>
              </w:rPr>
              <w:t>+0.1%</w:t>
            </w:r>
          </w:p>
        </w:tc>
        <w:tc>
          <w:tcPr>
            <w:tcW w:type="dxa" w:w="1080"/>
          </w:tcPr>
          <w:p>
            <w:r>
              <w:rPr>
                <w:rFonts w:ascii="Calibri" w:hAnsi="Calibri"/>
                <w:sz w:val="22"/>
              </w:rPr>
              <w:t>~$19.5B+ (&gt;$2B growth YoY)</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+0.6%</w:t>
            </w:r>
          </w:p>
        </w:tc>
      </w:tr>
      <w:tr>
        <w:tc>
          <w:tcPr>
            <w:tcW w:type="dxa" w:w="1080"/>
          </w:tcPr>
          <w:p>
            <w:r>
              <w:rPr>
                <w:rFonts w:ascii="Calibri" w:hAnsi="Calibri"/>
                <w:sz w:val="22"/>
              </w:rPr>
              <w:t>Adj. EPS (FY26)</w:t>
            </w:r>
          </w:p>
        </w:tc>
        <w:tc>
          <w:tcPr>
            <w:tcW w:type="dxa" w:w="1080"/>
          </w:tcPr>
          <w:p>
            <w:r>
              <w:rPr>
                <w:rFonts w:ascii="Calibri" w:hAnsi="Calibri"/>
                <w:sz w:val="22"/>
              </w:rPr>
              <w:t>$11.220</w:t>
            </w:r>
          </w:p>
        </w:tc>
        <w:tc>
          <w:tcPr>
            <w:tcW w:type="dxa" w:w="1080"/>
          </w:tcPr>
          <w:p>
            <w:r>
              <w:rPr>
                <w:rFonts w:ascii="Calibri" w:hAnsi="Calibri"/>
                <w:sz w:val="22"/>
              </w:rPr>
              <w:t>$11.243</w:t>
            </w:r>
          </w:p>
        </w:tc>
        <w:tc>
          <w:tcPr>
            <w:tcW w:type="dxa" w:w="1080"/>
          </w:tcPr>
          <w:p>
            <w:r>
              <w:rPr>
                <w:rFonts w:ascii="Calibri" w:hAnsi="Calibri"/>
                <w:sz w:val="22"/>
              </w:rPr>
              <w:t>+0.2%</w:t>
            </w:r>
          </w:p>
        </w:tc>
        <w:tc>
          <w:tcPr>
            <w:tcW w:type="dxa" w:w="1080"/>
          </w:tcPr>
          <w:p>
            <w:r>
              <w:rPr>
                <w:rFonts w:ascii="Calibri" w:hAnsi="Calibri"/>
                <w:sz w:val="22"/>
              </w:rPr>
              <w:t>Double-digit growth (10%+)</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In-line</w:t>
            </w:r>
          </w:p>
        </w:tc>
      </w:tr>
      <w:tr>
        <w:tc>
          <w:tcPr>
            <w:tcW w:type="dxa" w:w="1080"/>
          </w:tcPr>
          <w:p>
            <w:r>
              <w:rPr>
                <w:rFonts w:ascii="Calibri" w:hAnsi="Calibri"/>
                <w:sz w:val="22"/>
              </w:rPr>
              <w:t>Net Sales (FY27)</w:t>
            </w:r>
          </w:p>
        </w:tc>
        <w:tc>
          <w:tcPr>
            <w:tcW w:type="dxa" w:w="1080"/>
          </w:tcPr>
          <w:p>
            <w:r>
              <w:rPr>
                <w:rFonts w:ascii="Calibri" w:hAnsi="Calibri"/>
                <w:sz w:val="22"/>
              </w:rPr>
              <w:t>$21.226B</w:t>
            </w:r>
          </w:p>
        </w:tc>
        <w:tc>
          <w:tcPr>
            <w:tcW w:type="dxa" w:w="1080"/>
          </w:tcPr>
          <w:p>
            <w:r>
              <w:rPr>
                <w:rFonts w:ascii="Calibri" w:hAnsi="Calibri"/>
                <w:sz w:val="22"/>
              </w:rPr>
              <w:t>$21.242B</w:t>
            </w:r>
          </w:p>
        </w:tc>
        <w:tc>
          <w:tcPr>
            <w:tcW w:type="dxa" w:w="1080"/>
          </w:tcPr>
          <w:p>
            <w:r>
              <w:rPr>
                <w:rFonts w:ascii="Calibri" w:hAnsi="Calibri"/>
                <w:sz w:val="22"/>
              </w:rPr>
              <w:t>+0.1%</w:t>
            </w:r>
          </w:p>
        </w:tc>
        <w:tc>
          <w:tcPr>
            <w:tcW w:type="dxa" w:w="1080"/>
          </w:tcPr>
          <w:p>
            <w:r>
              <w:rPr>
                <w:rFonts w:ascii="Calibri" w:hAnsi="Calibri"/>
                <w:sz w:val="22"/>
              </w:rPr>
              <w:t>N/A (no FY27 guidance given)</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(FY27)</w:t>
            </w:r>
          </w:p>
        </w:tc>
        <w:tc>
          <w:tcPr>
            <w:tcW w:type="dxa" w:w="1080"/>
          </w:tcPr>
          <w:p>
            <w:r>
              <w:rPr>
                <w:rFonts w:ascii="Calibri" w:hAnsi="Calibri"/>
                <w:sz w:val="22"/>
              </w:rPr>
              <w:t>$12.590</w:t>
            </w:r>
          </w:p>
        </w:tc>
        <w:tc>
          <w:tcPr>
            <w:tcW w:type="dxa" w:w="1080"/>
          </w:tcPr>
          <w:p>
            <w:r>
              <w:rPr>
                <w:rFonts w:ascii="Calibri" w:hAnsi="Calibri"/>
                <w:sz w:val="22"/>
              </w:rPr>
              <w:t>$12.651</w:t>
            </w:r>
          </w:p>
        </w:tc>
        <w:tc>
          <w:tcPr>
            <w:tcW w:type="dxa" w:w="1080"/>
          </w:tcPr>
          <w:p>
            <w:r>
              <w:rPr>
                <w:rFonts w:ascii="Calibri" w:hAnsi="Calibri"/>
                <w:sz w:val="22"/>
              </w:rPr>
              <w:t>+0.5%</w:t>
            </w:r>
          </w:p>
        </w:tc>
        <w:tc>
          <w:tcPr>
            <w:tcW w:type="dxa" w:w="1080"/>
          </w:tcPr>
          <w:p>
            <w:r>
              <w:rPr>
                <w:rFonts w:ascii="Calibri" w:hAnsi="Calibri"/>
                <w:sz w:val="22"/>
              </w:rPr>
              <w:t>N/A (no FY27 guidance given)</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are essentially flat since the Q2 print, tracking guidance with minimal divergence. The slight upward drift in FY27 EPS (+0.5%) suggests the street is incrementally building in confidence in the AI ramp extending into FY27, consistent with management's commentary about $10B of orders stacked in 1H FY26 and the $3B longer-term AI revenue target shifting earlier.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TEL has significantly underperformed since Q2 earnings (TEL -5.4% vs. SPY +5.2%, IYJ +3.5%), driven by sentiment/multiple compression rather than estimate revisions — the stock's discount to Amphenol (~21x vs. ~38x forward P/E) has widened further, creating an asymmetric setup into Q3 if the AI ramp delivers.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TEL vs. IYJ (iShares U.S. Industrials ETF) vs. S&amp;P 500 (SPY) — Indexed to 100 at Q2 FY26 Earnings (Apr 22, 2026). Source: Yahoo Finance.</w:t>
      </w:r>
    </w:p>
    <w:p>
      <w:r>
        <w:rPr>
          <w:rFonts w:ascii="Calibri" w:hAnsi="Calibri"/>
          <w:b/>
          <w:color w:val="525866"/>
          <w:sz w:val="22"/>
        </w:rPr>
        <w:t xml:space="preserve">Sector ETF: </w:t>
      </w:r>
      <w:r>
        <w:rPr>
          <w:rFonts w:ascii="Calibri" w:hAnsi="Calibri"/>
          <w:color w:val="525866"/>
          <w:sz w:val="22"/>
        </w:rPr>
        <w:t>IYJ (iShares U.S. Industrials ETF) — appropriate for TEL given its classification as an industrial technology company with diversified end-market exposure across transportation, industrial automation, energy, and data connectivity.</w:t>
      </w:r>
    </w:p>
    <w:p>
      <w:r>
        <w:rPr>
          <w:rFonts w:ascii="Calibri" w:hAnsi="Calibri"/>
          <w:b/>
          <w:color w:val="525866"/>
          <w:sz w:val="22"/>
        </w:rPr>
        <w:t xml:space="preserve">Performance Summary (Apr 22 – Jul 21, 2026): </w:t>
      </w:r>
      <w:r>
        <w:rPr>
          <w:rFonts w:ascii="Calibri" w:hAnsi="Calibri"/>
          <w:color w:val="525866"/>
          <w:sz w:val="22"/>
        </w:rPr>
        <w:t>TEL -5.4% | IYJ +3.5% | SPY +5.2%. TEL's underperformance of ~10.6 percentage points vs. SPY is notable given that estimates have been essentially flat and management's tone has been increasingly confident. The stock sold off sharply on Q2 earnings day despite beating on EPS (stock fell ~mid-single digits on the day), suggesting the market was disappointed by the organic growth deceleration from Q1 (15% organic) to Q2 (7% organic). The subsequent recovery attempt stalled in early June, and the stock has traded in a narrow range of $196-$220 since. The Bernstein conference (May 14) provided a brief lift but did not sustain. The stock's current level of ~$209 implies ~21x NTM P/E, a 17-point discount to Amphenol (~38x), which appears disconnected from fundamentals given TEL's exposure to similar AI tailwinds and improving margin profile. Source: Yahoo Finance / Stock Price Data.</w:t>
      </w:r>
    </w:p>
    <w:p>
      <w:r>
        <w:br w:type="page"/>
      </w:r>
    </w:p>
    <w:p>
      <w:pPr>
        <w:pStyle w:val="Heading2"/>
      </w:pPr>
      <w:r>
        <w:rPr>
          <w:rFonts w:ascii="Calibri" w:hAnsi="Calibri"/>
          <w:b/>
          <w:color w:val="3B4259"/>
          <w:sz w:val="28"/>
        </w:rPr>
        <w:t>6. Peer Commentaries — Read-Through for Q3 FY2026 (Last 60 Days)</w:t>
      </w:r>
    </w:p>
    <w:p>
      <w:r>
        <w:rPr>
          <w:rFonts w:ascii="Calibri" w:hAnsi="Calibri"/>
          <w:b/>
          <w:color w:val="525866"/>
          <w:sz w:val="22"/>
        </w:rPr>
        <w:t xml:space="preserve">Key Takeaway: </w:t>
      </w:r>
      <w:r>
        <w:rPr>
          <w:rFonts w:ascii="Calibri" w:hAnsi="Calibri"/>
          <w:color w:val="525866"/>
          <w:sz w:val="22"/>
        </w:rPr>
        <w:t>Peer commentary from the last 60 days is uniformly bullish for TEL's Q3 print — APH guided IT datacom up low-teens sequentially for Q2 calendar (TEL's Q3), CLS raised FY26 revenue to $19B (+53% YoY) on hyperscaler demand acceleration, JBL raised AI revenue to $13.6B (+50% YoY), and FN reported record revenue with demand 'far exceeding' supply — all strong read-throughs for TEL's DDN/AI connectivity business. Industrial recovery commentary from APH and FLEX also supports TEL's Transportation and Industrial segments.</w:t>
      </w:r>
    </w:p>
    <w:p>
      <w:pPr>
        <w:pStyle w:val="Heading3"/>
      </w:pPr>
      <w:r>
        <w:rPr>
          <w:rFonts w:ascii="Calibri" w:hAnsi="Calibri"/>
          <w:b/>
          <w:color w:val="3B4259"/>
          <w:sz w:val="24"/>
        </w:rPr>
        <w:t>Amphenol (APH) — Q1 CY2026 Earnings (Apr 29, 2026)</w:t>
      </w:r>
    </w:p>
    <w:p>
      <w:r>
        <w:rPr>
          <w:rFonts w:ascii="Calibri" w:hAnsi="Calibri"/>
          <w:b/>
          <w:color w:val="525866"/>
          <w:sz w:val="22"/>
        </w:rPr>
        <w:t xml:space="preserve">Relevance to TEL: </w:t>
      </w:r>
      <w:r>
        <w:rPr>
          <w:rFonts w:ascii="Calibri" w:hAnsi="Calibri"/>
          <w:color w:val="525866"/>
          <w:sz w:val="22"/>
        </w:rPr>
        <w:t>APH is TEL's closest peer in high-speed interconnect and AI data center connectivity. APH's Q1 CY2026 covers the same calendar period as TEL's Q2 FY26 (reported Apr 22), and APH's Q2 CY2026 guidance is a direct read-through for TEL's Q3 FY26 (reporting Jul 22).</w:t>
      </w:r>
    </w:p>
    <w:p>
      <w:pPr>
        <w:pStyle w:val="ListBullet"/>
        <w:ind w:left="360" w:hanging="360"/>
      </w:pPr>
      <w:r>
        <w:rPr>
          <w:rFonts w:ascii="Calibri" w:hAnsi="Calibri"/>
          <w:b/>
          <w:color w:val="525866"/>
          <w:sz w:val="22"/>
        </w:rPr>
        <w:t xml:space="preserve">AI/Data Center (IT Datacom): </w:t>
      </w:r>
      <w:r>
        <w:rPr>
          <w:rFonts w:ascii="Calibri" w:hAnsi="Calibri"/>
          <w:color w:val="525866"/>
          <w:sz w:val="22"/>
        </w:rPr>
        <w:t xml:space="preserve">IT datacom represented just over 40% of APH's Q1 sales, growing 99% YoY and 81% organically. Sequentially, sales increased 27% — 'substantially better than our expectation for a low double-digit increase.' Virtually all organic sequential growth was driven by AI-related products. For Q2 CY2026 (TEL's Q3 FY26), APH guided IT datacom up 'low teens' sequentially as 'investments in AI data centers accelerate.' </w:t>
      </w:r>
    </w:p>
    <w:p>
      <w:pPr>
        <w:pStyle w:val="ListBullet"/>
        <w:ind w:left="360" w:hanging="360"/>
      </w:pPr>
      <w:r>
        <w:rPr>
          <w:rFonts w:ascii="Calibri" w:hAnsi="Calibri"/>
          <w:b/>
          <w:color w:val="525866"/>
          <w:sz w:val="22"/>
        </w:rPr>
        <w:t xml:space="preserve">Read-through for TEL: </w:t>
      </w:r>
      <w:r>
        <w:rPr>
          <w:rFonts w:ascii="Calibri" w:hAnsi="Calibri"/>
          <w:color w:val="525866"/>
          <w:sz w:val="22"/>
        </w:rPr>
        <w:t>APH's low-teens sequential IT datacom guide for Q2 CY2026 is a strong positive read-through for TEL's DDN segment in Q3 FY26. APH noted 'more interconnect, no matter what' from customers and highlighted that the CommScope acquisition gives them 'the industry's broadest range of high-speed copper, power and fiber optics interconnect products' — validating TEL's copper-and-optical positioning.</w:t>
      </w:r>
    </w:p>
    <w:p>
      <w:pPr>
        <w:pStyle w:val="ListBullet"/>
        <w:ind w:left="360" w:hanging="360"/>
      </w:pPr>
      <w:r>
        <w:rPr>
          <w:rFonts w:ascii="Calibri" w:hAnsi="Calibri"/>
          <w:b/>
          <w:color w:val="525866"/>
          <w:sz w:val="22"/>
        </w:rPr>
        <w:t xml:space="preserve">Industrial Recovery: </w:t>
      </w:r>
      <w:r>
        <w:rPr>
          <w:rFonts w:ascii="Calibri" w:hAnsi="Calibri"/>
          <w:color w:val="525866"/>
          <w:sz w:val="22"/>
        </w:rPr>
        <w:t xml:space="preserve">APH's industrial sales grew 52% YoY (16% organically) in Q1 CY2026, with 'accelerating demand across most segments.' For Q2, APH guided industrial up 'high single digits' sequentially. Strongest areas: instrumentation, electrification, oil and gas, factory automation — a 'real broad-based reacceleration of the adoption of electronics in harsh environments.' </w:t>
      </w:r>
    </w:p>
    <w:p>
      <w:pPr>
        <w:pStyle w:val="ListBullet"/>
        <w:ind w:left="360" w:hanging="360"/>
      </w:pPr>
      <w:r>
        <w:rPr>
          <w:rFonts w:ascii="Calibri" w:hAnsi="Calibri"/>
          <w:b/>
          <w:color w:val="525866"/>
          <w:sz w:val="22"/>
        </w:rPr>
        <w:t xml:space="preserve">Read-through for TEL: </w:t>
      </w:r>
      <w:r>
        <w:rPr>
          <w:rFonts w:ascii="Calibri" w:hAnsi="Calibri"/>
          <w:color w:val="525866"/>
          <w:sz w:val="22"/>
        </w:rPr>
        <w:t>APH's broad-based industrial acceleration is a strong positive read-through for TEL's Industrial segment, particularly automation and connected living (ACL) and energy businesses. APH's 'high single digit' sequential industrial guide for Q2 CY2026 supports TEL's expectation of sequential growth in Industrial in Q3 FY26.</w:t>
      </w:r>
    </w:p>
    <w:p>
      <w:pPr>
        <w:pStyle w:val="ListBullet"/>
        <w:ind w:left="360" w:hanging="360"/>
      </w:pPr>
      <w:r>
        <w:rPr>
          <w:rFonts w:ascii="Calibri" w:hAnsi="Calibri"/>
          <w:b/>
          <w:color w:val="525866"/>
          <w:sz w:val="22"/>
        </w:rPr>
        <w:t xml:space="preserve">Automotive: </w:t>
      </w:r>
      <w:r>
        <w:rPr>
          <w:rFonts w:ascii="Calibri" w:hAnsi="Calibri"/>
          <w:color w:val="525866"/>
          <w:sz w:val="22"/>
        </w:rPr>
        <w:t xml:space="preserve">APH's auto sales grew 7% YoY (2% organically) in Q1 CY2026, with Q2 guided to 'increase modestly.' Organic growth in North America and Europe was partially offset by 'somewhat softer sales in Asia.' </w:t>
      </w:r>
    </w:p>
    <w:p>
      <w:pPr>
        <w:pStyle w:val="ListBullet"/>
        <w:ind w:left="360" w:hanging="360"/>
      </w:pPr>
      <w:r>
        <w:rPr>
          <w:rFonts w:ascii="Calibri" w:hAnsi="Calibri"/>
          <w:b/>
          <w:color w:val="525866"/>
          <w:sz w:val="22"/>
        </w:rPr>
        <w:t xml:space="preserve">Read-through for TEL: </w:t>
      </w:r>
      <w:r>
        <w:rPr>
          <w:rFonts w:ascii="Calibri" w:hAnsi="Calibri"/>
          <w:color w:val="525866"/>
          <w:sz w:val="22"/>
        </w:rPr>
        <w:t>Modest auto read-through — consistent with TEL's Q2 auto organic decline of -4% and Q3 guidance for sequential improvement. APH's Asia softness is a mild caution flag for TEL's China auto exposure.</w:t>
      </w:r>
    </w:p>
    <w:p>
      <w:pPr>
        <w:pStyle w:val="ListBullet"/>
        <w:ind w:left="360" w:hanging="360"/>
      </w:pPr>
      <w:r>
        <w:rPr>
          <w:rFonts w:ascii="Calibri" w:hAnsi="Calibri"/>
          <w:b/>
          <w:color w:val="525866"/>
          <w:sz w:val="22"/>
        </w:rPr>
        <w:t xml:space="preserve">Orders: </w:t>
      </w:r>
      <w:r>
        <w:rPr>
          <w:rFonts w:ascii="Calibri" w:hAnsi="Calibri"/>
          <w:color w:val="525866"/>
          <w:sz w:val="22"/>
        </w:rPr>
        <w:t xml:space="preserve">APH reported record orders of $9.435B in Q1 CY2026, up 78% YoY and 12% sequentially, with book-to-bill of 1.24x. 'All end markets having a positive book-to-bill this quarter.' </w:t>
      </w:r>
    </w:p>
    <w:p>
      <w:pPr>
        <w:pStyle w:val="ListBullet"/>
        <w:ind w:left="360" w:hanging="360"/>
      </w:pPr>
      <w:r>
        <w:rPr>
          <w:rFonts w:ascii="Calibri" w:hAnsi="Calibri"/>
          <w:b/>
          <w:color w:val="525866"/>
          <w:sz w:val="22"/>
        </w:rPr>
        <w:t xml:space="preserve">Read-through for TEL: </w:t>
      </w:r>
      <w:r>
        <w:rPr>
          <w:rFonts w:ascii="Calibri" w:hAnsi="Calibri"/>
          <w:color w:val="525866"/>
          <w:sz w:val="22"/>
        </w:rPr>
        <w:t>APH's record B2B of 1.24x (vs. TEL's 1.12x in Q2 FY26) reinforces the strong order environment. TEL's Q3 B2B will be a key data point — consensus at 0.83x appears too low given the demand backdrop.</w:t>
      </w:r>
    </w:p>
    <w:p>
      <w:pPr>
        <w:pStyle w:val="Heading3"/>
      </w:pPr>
      <w:r>
        <w:rPr>
          <w:rFonts w:ascii="Calibri" w:hAnsi="Calibri"/>
          <w:b/>
          <w:color w:val="3B4259"/>
          <w:sz w:val="24"/>
        </w:rPr>
        <w:t>Celestica (CLS) — Q1 CY2026 Earnings (Apr 28, 2026)</w:t>
      </w:r>
    </w:p>
    <w:p>
      <w:r>
        <w:rPr>
          <w:rFonts w:ascii="Calibri" w:hAnsi="Calibri"/>
          <w:b/>
          <w:color w:val="525866"/>
          <w:sz w:val="22"/>
        </w:rPr>
        <w:t xml:space="preserve">Relevance to TEL: </w:t>
      </w:r>
      <w:r>
        <w:rPr>
          <w:rFonts w:ascii="Calibri" w:hAnsi="Calibri"/>
          <w:color w:val="525866"/>
          <w:sz w:val="22"/>
        </w:rPr>
        <w:t>CLS is a major AI infrastructure manufacturer (hyperscale switches, compute) and a customer of TEL's DDN connectivity products. CLS's demand commentary is a direct read-through for TEL's AI connectivity revenue trajectory.</w:t>
      </w:r>
    </w:p>
    <w:p>
      <w:pPr>
        <w:pStyle w:val="ListBullet"/>
        <w:ind w:left="360" w:hanging="360"/>
      </w:pPr>
      <w:r>
        <w:rPr>
          <w:rFonts w:ascii="Calibri" w:hAnsi="Calibri"/>
          <w:b/>
          <w:color w:val="525866"/>
          <w:sz w:val="22"/>
        </w:rPr>
        <w:t xml:space="preserve">AI/Hyperscaler Demand: </w:t>
      </w:r>
      <w:r>
        <w:rPr>
          <w:rFonts w:ascii="Calibri" w:hAnsi="Calibri"/>
          <w:color w:val="525866"/>
          <w:sz w:val="22"/>
        </w:rPr>
        <w:t xml:space="preserve">CLS guided Q2 CY2026 (TEL's Q3 FY26) revenue of $4.15-$4.45B (+49% YoY at midpoint). Enterprise end market (AI/ML compute) guided +130% YoY, driven by 'continued ramp in an AI/ML compute program with a hyperscaler customer.' Communications (800G switches) guided +50% YoY. CLS raised FY26 revenue outlook to $19B (+53% YoY) and adj. EPS to $10.15 (+68% YoY). </w:t>
      </w:r>
    </w:p>
    <w:p>
      <w:pPr>
        <w:pStyle w:val="ListBullet"/>
        <w:ind w:left="360" w:hanging="360"/>
      </w:pPr>
      <w:r>
        <w:rPr>
          <w:rFonts w:ascii="Calibri" w:hAnsi="Calibri"/>
          <w:b/>
          <w:color w:val="525866"/>
          <w:sz w:val="22"/>
        </w:rPr>
        <w:t xml:space="preserve">Read-through for TEL: </w:t>
      </w:r>
      <w:r>
        <w:rPr>
          <w:rFonts w:ascii="Calibri" w:hAnsi="Calibri"/>
          <w:color w:val="525866"/>
          <w:sz w:val="22"/>
        </w:rPr>
        <w:t>CLS's explosive AI demand acceleration is a direct positive read-through for TEL's DDN segment. CLS's 800G switch ramps and AI/ML compute program ramps require TEL's high-speed copper interconnects. CLS's CEO stated the awarded backlog and opportunity pipeline are 'the strongest they have ever been during my tenure.'</w:t>
      </w:r>
    </w:p>
    <w:p>
      <w:pPr>
        <w:pStyle w:val="ListBullet"/>
        <w:ind w:left="360" w:hanging="360"/>
      </w:pPr>
      <w:r>
        <w:rPr>
          <w:rFonts w:ascii="Calibri" w:hAnsi="Calibri"/>
          <w:b/>
          <w:color w:val="525866"/>
          <w:sz w:val="22"/>
        </w:rPr>
        <w:t xml:space="preserve">Supply Chain / Component Constraints: </w:t>
      </w:r>
      <w:r>
        <w:rPr>
          <w:rFonts w:ascii="Calibri" w:hAnsi="Calibri"/>
          <w:color w:val="525866"/>
          <w:sz w:val="22"/>
        </w:rPr>
        <w:t xml:space="preserve">CLS noted 'more component shortages now than 90 days ago,' with constrained commodities including custom silicon, memory, 40+ layer PCBs, power components, and optical components. 'The unprecedented growth throughout the data center ecosystem has created a tighter supplier environment, effectively pacing our growth.' </w:t>
      </w:r>
    </w:p>
    <w:p>
      <w:pPr>
        <w:pStyle w:val="ListBullet"/>
        <w:ind w:left="360" w:hanging="360"/>
      </w:pPr>
      <w:r>
        <w:rPr>
          <w:rFonts w:ascii="Calibri" w:hAnsi="Calibri"/>
          <w:b/>
          <w:color w:val="525866"/>
          <w:sz w:val="22"/>
        </w:rPr>
        <w:t xml:space="preserve">Read-through for TEL: </w:t>
      </w:r>
      <w:r>
        <w:rPr>
          <w:rFonts w:ascii="Calibri" w:hAnsi="Calibri"/>
          <w:color w:val="525866"/>
          <w:sz w:val="22"/>
        </w:rPr>
        <w:t>Component constraints at CLS could pace TEL's DDN revenue ramp if TEL's connectivity products are caught in the same supply chain tightness. However, TEL's localized manufacturing and deep customer co-design relationships should provide some insulation.</w:t>
      </w:r>
    </w:p>
    <w:p>
      <w:pPr>
        <w:pStyle w:val="ListBullet"/>
        <w:ind w:left="360" w:hanging="360"/>
      </w:pPr>
      <w:r>
        <w:rPr>
          <w:rFonts w:ascii="Calibri" w:hAnsi="Calibri"/>
          <w:b/>
          <w:color w:val="525866"/>
          <w:sz w:val="22"/>
        </w:rPr>
        <w:t xml:space="preserve">Industrial/ATS Recovery: </w:t>
      </w:r>
      <w:r>
        <w:rPr>
          <w:rFonts w:ascii="Calibri" w:hAnsi="Calibri"/>
          <w:color w:val="525866"/>
          <w:sz w:val="22"/>
        </w:rPr>
        <w:t xml:space="preserve">CLS's ATS segment (industrial, HealthTech, capital equipment) guided Q2 CY2026 up 'mid-single-digit percentage range.' Capital equipment seeing 'reacceleration of customer demand' with wafer fab equipment spending strengthening in 2H 2026 and into 2027. </w:t>
      </w:r>
    </w:p>
    <w:p>
      <w:pPr>
        <w:pStyle w:val="ListBullet"/>
        <w:ind w:left="360" w:hanging="360"/>
      </w:pPr>
      <w:r>
        <w:rPr>
          <w:rFonts w:ascii="Calibri" w:hAnsi="Calibri"/>
          <w:b/>
          <w:color w:val="525866"/>
          <w:sz w:val="22"/>
        </w:rPr>
        <w:t xml:space="preserve">Read-through for TEL: </w:t>
      </w:r>
      <w:r>
        <w:rPr>
          <w:rFonts w:ascii="Calibri" w:hAnsi="Calibri"/>
          <w:color w:val="525866"/>
          <w:sz w:val="22"/>
        </w:rPr>
        <w:t>Positive read-through for TEL's industrial equipment and automation businesses. CLS's capital equipment recovery commentary aligns with TEL's ACL double-digit order growth in Q2 FY26.</w:t>
      </w:r>
    </w:p>
    <w:p>
      <w:pPr>
        <w:pStyle w:val="ListBullet"/>
        <w:ind w:left="360" w:hanging="360"/>
      </w:pPr>
      <w:r>
        <w:rPr>
          <w:rFonts w:ascii="Calibri" w:hAnsi="Calibri"/>
          <w:b/>
          <w:color w:val="525866"/>
          <w:sz w:val="22"/>
        </w:rPr>
        <w:t xml:space="preserve">New Program Wins: </w:t>
      </w:r>
      <w:r>
        <w:rPr>
          <w:rFonts w:ascii="Calibri" w:hAnsi="Calibri"/>
          <w:color w:val="525866"/>
          <w:sz w:val="22"/>
        </w:rPr>
        <w:t xml:space="preserve">CLS secured a landmark 1.6T co-packaged optics (CPO) Ethernet switch program with a hyperscaler, with mass production in 2027. Also collaborating with AMD on a scale-up networking switch for the Helios rack-scale AI architecture. </w:t>
      </w:r>
    </w:p>
    <w:p>
      <w:pPr>
        <w:pStyle w:val="ListBullet"/>
        <w:ind w:left="360" w:hanging="360"/>
      </w:pPr>
      <w:r>
        <w:rPr>
          <w:rFonts w:ascii="Calibri" w:hAnsi="Calibri"/>
          <w:b/>
          <w:color w:val="525866"/>
          <w:sz w:val="22"/>
        </w:rPr>
        <w:t xml:space="preserve">Read-through for TEL: </w:t>
      </w:r>
      <w:r>
        <w:rPr>
          <w:rFonts w:ascii="Calibri" w:hAnsi="Calibri"/>
          <w:color w:val="525866"/>
          <w:sz w:val="22"/>
        </w:rPr>
        <w:t>CLS's CPO win validates TEL's RAM Photonics acquisition strategy. TEL's passive optical connectivity technology (fiber array connections to CPO) is directly relevant to CLS's next-generation switch programs. This is a potential incremental content opportunity for TEL in scale-out architectures.</w:t>
      </w:r>
    </w:p>
    <w:p>
      <w:pPr>
        <w:pStyle w:val="Heading3"/>
      </w:pPr>
      <w:r>
        <w:rPr>
          <w:rFonts w:ascii="Calibri" w:hAnsi="Calibri"/>
          <w:b/>
          <w:color w:val="3B4259"/>
          <w:sz w:val="24"/>
        </w:rPr>
        <w:t>Jabil (JBL) — Q3 FY2026 Earnings (Jun 17, 2026)</w:t>
      </w:r>
    </w:p>
    <w:p>
      <w:r>
        <w:rPr>
          <w:rFonts w:ascii="Calibri" w:hAnsi="Calibri"/>
          <w:b/>
          <w:color w:val="525866"/>
          <w:sz w:val="22"/>
        </w:rPr>
        <w:t xml:space="preserve">Relevance to TEL: </w:t>
      </w:r>
      <w:r>
        <w:rPr>
          <w:rFonts w:ascii="Calibri" w:hAnsi="Calibri"/>
          <w:color w:val="525866"/>
          <w:sz w:val="22"/>
        </w:rPr>
        <w:t>JBL is a large-scale AI infrastructure manufacturer and a customer of TEL's connectivity products. JBL's Q3 FY2026 (quarter ending May 2026) is the most recent peer earnings report and covers the period immediately preceding TEL's Q3 FY2026 (quarter ending June 2026).</w:t>
      </w:r>
    </w:p>
    <w:p>
      <w:pPr>
        <w:pStyle w:val="ListBullet"/>
        <w:ind w:left="360" w:hanging="360"/>
      </w:pPr>
      <w:r>
        <w:rPr>
          <w:rFonts w:ascii="Calibri" w:hAnsi="Calibri"/>
          <w:b/>
          <w:color w:val="525866"/>
          <w:sz w:val="22"/>
        </w:rPr>
        <w:t xml:space="preserve">AI Revenue Raise: </w:t>
      </w:r>
      <w:r>
        <w:rPr>
          <w:rFonts w:ascii="Calibri" w:hAnsi="Calibri"/>
          <w:color w:val="525866"/>
          <w:sz w:val="22"/>
        </w:rPr>
        <w:t xml:space="preserve">JBL raised FY26 AI-related revenue outlook to $13.6B (from $13.1B 90 days prior), up from $9B in FY25 — representing $4.6B of AI-related growth or ~50% YoY. 'AI infrastructure demand remained extremely strong, and our full year AI related revenue outlook is now meaningfully higher than what we laid out just 90 days ago.' </w:t>
      </w:r>
    </w:p>
    <w:p>
      <w:pPr>
        <w:pStyle w:val="ListBullet"/>
        <w:ind w:left="360" w:hanging="360"/>
      </w:pPr>
      <w:r>
        <w:rPr>
          <w:rFonts w:ascii="Calibri" w:hAnsi="Calibri"/>
          <w:b/>
          <w:color w:val="525866"/>
          <w:sz w:val="22"/>
        </w:rPr>
        <w:t xml:space="preserve">Read-through for TEL: </w:t>
      </w:r>
      <w:r>
        <w:rPr>
          <w:rFonts w:ascii="Calibri" w:hAnsi="Calibri"/>
          <w:color w:val="525866"/>
          <w:sz w:val="22"/>
        </w:rPr>
        <w:t>JBL's second consecutive AI revenue raise (mirroring TEL's pattern) and the magnitude of the raise (+$500M in 90 days) is a strong positive read-through for TEL's DDN AI revenue trajectory. JBL's AI growth spans compute, storage, networking, optics, power cooling, and rack-level integration — all areas where TEL provides connectivity solutions.</w:t>
      </w:r>
    </w:p>
    <w:p>
      <w:pPr>
        <w:pStyle w:val="ListBullet"/>
        <w:ind w:left="360" w:hanging="360"/>
      </w:pPr>
      <w:r>
        <w:rPr>
          <w:rFonts w:ascii="Calibri" w:hAnsi="Calibri"/>
          <w:b/>
          <w:color w:val="525866"/>
          <w:sz w:val="22"/>
        </w:rPr>
        <w:t xml:space="preserve">Q4 FY26 Guidance (JBL's quarter ending Aug 2026): </w:t>
      </w:r>
      <w:r>
        <w:rPr>
          <w:rFonts w:ascii="Calibri" w:hAnsi="Calibri"/>
          <w:color w:val="525866"/>
          <w:sz w:val="22"/>
        </w:rPr>
        <w:t xml:space="preserve">JBL guided Q4 FY26 revenue of $9.2-$10.0B (+16% YoY at midpoint) with core operating margin of ~6.4%. Full-year FY26 revenue raised to ~$35B with core EPS of ~$12.70. </w:t>
      </w:r>
    </w:p>
    <w:p>
      <w:pPr>
        <w:pStyle w:val="ListBullet"/>
        <w:ind w:left="360" w:hanging="360"/>
      </w:pPr>
      <w:r>
        <w:rPr>
          <w:rFonts w:ascii="Calibri" w:hAnsi="Calibri"/>
          <w:b/>
          <w:color w:val="525866"/>
          <w:sz w:val="22"/>
        </w:rPr>
        <w:t xml:space="preserve">Read-through for TEL: </w:t>
      </w:r>
      <w:r>
        <w:rPr>
          <w:rFonts w:ascii="Calibri" w:hAnsi="Calibri"/>
          <w:color w:val="525866"/>
          <w:sz w:val="22"/>
        </w:rPr>
        <w:t>JBL's strong Q4 guidance implies continued AI infrastructure demand acceleration through the summer months, which overlaps with TEL's Q3 FY26 (ending June 2026) and provides confidence in TEL's 2H FY26 AI revenue ramp.</w:t>
      </w:r>
    </w:p>
    <w:p>
      <w:pPr>
        <w:pStyle w:val="ListBullet"/>
        <w:ind w:left="360" w:hanging="360"/>
      </w:pPr>
      <w:r>
        <w:rPr>
          <w:rFonts w:ascii="Calibri" w:hAnsi="Calibri"/>
          <w:b/>
          <w:color w:val="525866"/>
          <w:sz w:val="22"/>
        </w:rPr>
        <w:t xml:space="preserve">Third Hyperscaler Win: </w:t>
      </w:r>
      <w:r>
        <w:rPr>
          <w:rFonts w:ascii="Calibri" w:hAnsi="Calibri"/>
          <w:color w:val="525866"/>
          <w:sz w:val="22"/>
        </w:rPr>
        <w:t xml:space="preserve">JBL secured its third hyperscale customer in Q3, with revenue expected to reach 'a couple of hundred million dollars' in FY27 and 'billion dollars and beyond' by FY28. New capacity coming online in North Carolina, Memphis, and India. </w:t>
      </w:r>
    </w:p>
    <w:p>
      <w:pPr>
        <w:pStyle w:val="ListBullet"/>
        <w:ind w:left="360" w:hanging="360"/>
      </w:pPr>
      <w:r>
        <w:rPr>
          <w:rFonts w:ascii="Calibri" w:hAnsi="Calibri"/>
          <w:b/>
          <w:color w:val="525866"/>
          <w:sz w:val="22"/>
        </w:rPr>
        <w:t xml:space="preserve">Read-through for TEL: </w:t>
      </w:r>
      <w:r>
        <w:rPr>
          <w:rFonts w:ascii="Calibri" w:hAnsi="Calibri"/>
          <w:color w:val="525866"/>
          <w:sz w:val="22"/>
        </w:rPr>
        <w:t>New hyperscaler program wins at JBL represent incremental demand for TEL's connectivity products as JBL expands its AI infrastructure footprint. JBL's capacity expansion (adding 10% globally) is a positive signal for TEL's order pipeline.</w:t>
      </w:r>
    </w:p>
    <w:p>
      <w:pPr>
        <w:pStyle w:val="ListBullet"/>
        <w:ind w:left="360" w:hanging="360"/>
      </w:pPr>
      <w:r>
        <w:rPr>
          <w:rFonts w:ascii="Calibri" w:hAnsi="Calibri"/>
          <w:b/>
          <w:color w:val="525866"/>
          <w:sz w:val="22"/>
        </w:rPr>
        <w:t xml:space="preserve">Automotive Stronger Than Expected: </w:t>
      </w:r>
      <w:r>
        <w:rPr>
          <w:rFonts w:ascii="Calibri" w:hAnsi="Calibri"/>
          <w:color w:val="525866"/>
          <w:sz w:val="22"/>
        </w:rPr>
        <w:t xml:space="preserve">JBL raised auto revenue outlook to $4.4B (from $4.2B), driven by 'stronger export demand from China, industrial consolidation and growth in powertrain agnostic platforms.' Renewables also improving. </w:t>
      </w:r>
    </w:p>
    <w:p>
      <w:pPr>
        <w:pStyle w:val="ListBullet"/>
        <w:ind w:left="360" w:hanging="360"/>
      </w:pPr>
      <w:r>
        <w:rPr>
          <w:rFonts w:ascii="Calibri" w:hAnsi="Calibri"/>
          <w:b/>
          <w:color w:val="525866"/>
          <w:sz w:val="22"/>
        </w:rPr>
        <w:t xml:space="preserve">Read-through for TEL: </w:t>
      </w:r>
      <w:r>
        <w:rPr>
          <w:rFonts w:ascii="Calibri" w:hAnsi="Calibri"/>
          <w:color w:val="525866"/>
          <w:sz w:val="22"/>
        </w:rPr>
        <w:t>JBL's auto upside is a mild positive read-through for TEL's Transportation segment, particularly commercial transportation and sensors. JBL's China export strength is relevant given TEL's significant China auto exposure.</w:t>
      </w:r>
    </w:p>
    <w:p>
      <w:pPr>
        <w:pStyle w:val="ListBullet"/>
        <w:ind w:left="360" w:hanging="360"/>
      </w:pPr>
      <w:r>
        <w:rPr>
          <w:rFonts w:ascii="Calibri" w:hAnsi="Calibri"/>
          <w:b/>
          <w:color w:val="525866"/>
          <w:sz w:val="22"/>
        </w:rPr>
        <w:t xml:space="preserve">FY27 AI Growth: </w:t>
      </w:r>
      <w:r>
        <w:rPr>
          <w:rFonts w:ascii="Calibri" w:hAnsi="Calibri"/>
          <w:color w:val="525866"/>
          <w:sz w:val="22"/>
        </w:rPr>
        <w:t xml:space="preserve">JBL expects AI-related revenue growth in FY27 'in percentage terms to be similar to FY26' off a much larger base, with core operating margin moving above 6%. </w:t>
      </w:r>
    </w:p>
    <w:p>
      <w:pPr>
        <w:pStyle w:val="ListBullet"/>
        <w:ind w:left="360" w:hanging="360"/>
      </w:pPr>
      <w:r>
        <w:rPr>
          <w:rFonts w:ascii="Calibri" w:hAnsi="Calibri"/>
          <w:b/>
          <w:color w:val="525866"/>
          <w:sz w:val="22"/>
        </w:rPr>
        <w:t xml:space="preserve">Read-through for TEL: </w:t>
      </w:r>
      <w:r>
        <w:rPr>
          <w:rFonts w:ascii="Calibri" w:hAnsi="Calibri"/>
          <w:color w:val="525866"/>
          <w:sz w:val="22"/>
        </w:rPr>
        <w:t>JBL's FY27 AI growth confidence reinforces TEL's $3B longer-term AI revenue target and management's commentary that the $3B target is shifting earlier due to order momentum.</w:t>
      </w:r>
    </w:p>
    <w:p>
      <w:pPr>
        <w:pStyle w:val="Heading3"/>
      </w:pPr>
      <w:r>
        <w:rPr>
          <w:rFonts w:ascii="Calibri" w:hAnsi="Calibri"/>
          <w:b/>
          <w:color w:val="3B4259"/>
          <w:sz w:val="24"/>
        </w:rPr>
        <w:t>Fabrinet (FN) — Q3 FY2026 Earnings (May 4, 2026)</w:t>
      </w:r>
    </w:p>
    <w:p>
      <w:r>
        <w:rPr>
          <w:rFonts w:ascii="Calibri" w:hAnsi="Calibri"/>
          <w:b/>
          <w:color w:val="525866"/>
          <w:sz w:val="22"/>
        </w:rPr>
        <w:t xml:space="preserve">Relevance to TEL: </w:t>
      </w:r>
      <w:r>
        <w:rPr>
          <w:rFonts w:ascii="Calibri" w:hAnsi="Calibri"/>
          <w:color w:val="525866"/>
          <w:sz w:val="22"/>
        </w:rPr>
        <w:t>FN is a precision optical and electronic manufacturing company serving AI data center customers. FN's Q3 FY2026 (quarter ending March 2026) covers the period just before TEL's Q3 FY2026 and provides insight into AI connectivity demand trends.</w:t>
      </w:r>
    </w:p>
    <w:p>
      <w:pPr>
        <w:pStyle w:val="ListBullet"/>
        <w:ind w:left="360" w:hanging="360"/>
      </w:pPr>
      <w:r>
        <w:rPr>
          <w:rFonts w:ascii="Calibri" w:hAnsi="Calibri"/>
          <w:b/>
          <w:color w:val="525866"/>
          <w:sz w:val="22"/>
        </w:rPr>
        <w:t xml:space="preserve">Record Revenue &amp; Demand Exceeds Supply: </w:t>
      </w:r>
      <w:r>
        <w:rPr>
          <w:rFonts w:ascii="Calibri" w:hAnsi="Calibri"/>
          <w:color w:val="525866"/>
          <w:sz w:val="22"/>
        </w:rPr>
        <w:t xml:space="preserve">FN reported record Q3 FY26 revenue of $1.214B (+39% YoY), above guidance. Underlying Datacom demand 'far exceeded what we were able to ship' — supply constraints (lasers, memory, ASICs) are pacing growth, not demand. Q4 FY26 guided to $1.25-$1.29B (+40% YoY at midpoint). </w:t>
      </w:r>
    </w:p>
    <w:p>
      <w:pPr>
        <w:pStyle w:val="ListBullet"/>
        <w:ind w:left="360" w:hanging="360"/>
      </w:pPr>
      <w:r>
        <w:rPr>
          <w:rFonts w:ascii="Calibri" w:hAnsi="Calibri"/>
          <w:b/>
          <w:color w:val="525866"/>
          <w:sz w:val="22"/>
        </w:rPr>
        <w:t xml:space="preserve">Read-through for TEL: </w:t>
      </w:r>
      <w:r>
        <w:rPr>
          <w:rFonts w:ascii="Calibri" w:hAnsi="Calibri"/>
          <w:color w:val="525866"/>
          <w:sz w:val="22"/>
        </w:rPr>
        <w:t>FN's demand-exceeds-supply dynamic is a strong positive read-through for TEL's DDN business. If AI connectivity demand is outpacing supply at FN, TEL's copper interconnect products (which face fewer supply constraints than optical transceivers) may be benefiting from pull-forward demand.</w:t>
      </w:r>
    </w:p>
    <w:p>
      <w:pPr>
        <w:pStyle w:val="ListBullet"/>
        <w:ind w:left="360" w:hanging="360"/>
      </w:pPr>
      <w:r>
        <w:rPr>
          <w:rFonts w:ascii="Calibri" w:hAnsi="Calibri"/>
          <w:b/>
          <w:color w:val="525866"/>
          <w:sz w:val="22"/>
        </w:rPr>
        <w:t xml:space="preserve">DCI Revenue Surging: </w:t>
      </w:r>
      <w:r>
        <w:rPr>
          <w:rFonts w:ascii="Calibri" w:hAnsi="Calibri"/>
          <w:color w:val="525866"/>
          <w:sz w:val="22"/>
        </w:rPr>
        <w:t xml:space="preserve">Data center interconnect (DCI) revenue jumped to $197M in Q3 FY26, up 90% YoY and 38% sequentially. 'Strong longer-term DCI growth trends remain firmly intact.' </w:t>
      </w:r>
    </w:p>
    <w:p>
      <w:pPr>
        <w:pStyle w:val="ListBullet"/>
        <w:ind w:left="360" w:hanging="360"/>
      </w:pPr>
      <w:r>
        <w:rPr>
          <w:rFonts w:ascii="Calibri" w:hAnsi="Calibri"/>
          <w:b/>
          <w:color w:val="525866"/>
          <w:sz w:val="22"/>
        </w:rPr>
        <w:t xml:space="preserve">Read-through for TEL: </w:t>
      </w:r>
      <w:r>
        <w:rPr>
          <w:rFonts w:ascii="Calibri" w:hAnsi="Calibri"/>
          <w:color w:val="525866"/>
          <w:sz w:val="22"/>
        </w:rPr>
        <w:t>DCI growth acceleration is a positive read-through for TEL's DDN segment, which includes data center connectivity products. TEL's copper interconnects are used in the same data center architectures that FN's optical modules connect.</w:t>
      </w:r>
    </w:p>
    <w:p>
      <w:pPr>
        <w:pStyle w:val="ListBullet"/>
        <w:ind w:left="360" w:hanging="360"/>
      </w:pPr>
      <w:r>
        <w:rPr>
          <w:rFonts w:ascii="Calibri" w:hAnsi="Calibri"/>
          <w:b/>
          <w:color w:val="525866"/>
          <w:sz w:val="22"/>
        </w:rPr>
        <w:t xml:space="preserve">CPO Strategy: </w:t>
      </w:r>
      <w:r>
        <w:rPr>
          <w:rFonts w:ascii="Calibri" w:hAnsi="Calibri"/>
          <w:color w:val="525866"/>
          <w:sz w:val="22"/>
        </w:rPr>
        <w:t xml:space="preserve">FN is working on CPO programs with 3 different customers (both scale-up and scale-out), made a $32M minority investment in Raytek Semiconductor for advanced wafer-level packaging. Current CPO revenue is 'relatively small' but 'growth is in front of us.' </w:t>
      </w:r>
    </w:p>
    <w:p>
      <w:pPr>
        <w:pStyle w:val="ListBullet"/>
        <w:ind w:left="360" w:hanging="360"/>
      </w:pPr>
      <w:r>
        <w:rPr>
          <w:rFonts w:ascii="Calibri" w:hAnsi="Calibri"/>
          <w:b/>
          <w:color w:val="525866"/>
          <w:sz w:val="22"/>
        </w:rPr>
        <w:t xml:space="preserve">Read-through for TEL: </w:t>
      </w:r>
      <w:r>
        <w:rPr>
          <w:rFonts w:ascii="Calibri" w:hAnsi="Calibri"/>
          <w:color w:val="525866"/>
          <w:sz w:val="22"/>
        </w:rPr>
        <w:t>FN's CPO engagement validates TEL's RAM Photonics acquisition rationale. TEL's passive optical connectivity technology (fiber array connections to CPO) is complementary to FN's CPO manufacturing capabilities, and TEL could be a supplier to FN's CPO programs.</w:t>
      </w:r>
    </w:p>
    <w:p>
      <w:pPr>
        <w:pStyle w:val="ListBullet"/>
        <w:ind w:left="360" w:hanging="360"/>
      </w:pPr>
      <w:r>
        <w:rPr>
          <w:rFonts w:ascii="Calibri" w:hAnsi="Calibri"/>
          <w:b/>
          <w:color w:val="525866"/>
          <w:sz w:val="22"/>
        </w:rPr>
        <w:t xml:space="preserve">Capacity Expansion: </w:t>
      </w:r>
      <w:r>
        <w:rPr>
          <w:rFonts w:ascii="Calibri" w:hAnsi="Calibri"/>
          <w:color w:val="525866"/>
          <w:sz w:val="22"/>
        </w:rPr>
        <w:t xml:space="preserve">FN is adding Building 10 (2M sq ft, ~$3B capacity), acquiring a new facility in Nava Nakorn, Thailand, and planning Buildings 11 and 12. Total planned capacity could reach $11.5B+. </w:t>
      </w:r>
    </w:p>
    <w:p>
      <w:pPr>
        <w:pStyle w:val="ListBullet"/>
        <w:ind w:left="360" w:hanging="360"/>
      </w:pPr>
      <w:r>
        <w:rPr>
          <w:rFonts w:ascii="Calibri" w:hAnsi="Calibri"/>
          <w:b/>
          <w:color w:val="525866"/>
          <w:sz w:val="22"/>
        </w:rPr>
        <w:t xml:space="preserve">Read-through for TEL: </w:t>
      </w:r>
      <w:r>
        <w:rPr>
          <w:rFonts w:ascii="Calibri" w:hAnsi="Calibri"/>
          <w:color w:val="525866"/>
          <w:sz w:val="22"/>
        </w:rPr>
        <w:t>FN's aggressive capacity expansion signals multi-year confidence in AI connectivity demand, which is a positive read-through for TEL's long-term DDN revenue trajectory and the $3B AI revenue target.</w:t>
      </w:r>
    </w:p>
    <w:p>
      <w:pPr>
        <w:pStyle w:val="Heading3"/>
      </w:pPr>
      <w:r>
        <w:rPr>
          <w:rFonts w:ascii="Calibri" w:hAnsi="Calibri"/>
          <w:b/>
          <w:color w:val="3B4259"/>
          <w:sz w:val="24"/>
        </w:rPr>
        <w:t>Corning (GLW) — Q1 CY2026 Earnings (Apr 28, 2026) &amp; Investor Day (May 6, 2026)</w:t>
      </w:r>
    </w:p>
    <w:p>
      <w:r>
        <w:rPr>
          <w:rFonts w:ascii="Calibri" w:hAnsi="Calibri"/>
          <w:b/>
          <w:color w:val="525866"/>
          <w:sz w:val="22"/>
        </w:rPr>
        <w:t xml:space="preserve">Relevance to TEL: </w:t>
      </w:r>
      <w:r>
        <w:rPr>
          <w:rFonts w:ascii="Calibri" w:hAnsi="Calibri"/>
          <w:color w:val="525866"/>
          <w:sz w:val="22"/>
        </w:rPr>
        <w:t>GLW is a key player in optical fiber and connectivity for AI data centers. GLW's commentary on hyperscaler demand and the copper-vs-optical debate is directly relevant to TEL's positioning in the AI connectivity market.</w:t>
      </w:r>
    </w:p>
    <w:p>
      <w:pPr>
        <w:pStyle w:val="ListBullet"/>
        <w:ind w:left="360" w:hanging="360"/>
      </w:pPr>
      <w:r>
        <w:rPr>
          <w:rFonts w:ascii="Calibri" w:hAnsi="Calibri"/>
          <w:b/>
          <w:color w:val="525866"/>
          <w:sz w:val="22"/>
        </w:rPr>
        <w:t xml:space="preserve">Hyperscaler Long-Term Agreements: </w:t>
      </w:r>
      <w:r>
        <w:rPr>
          <w:rFonts w:ascii="Calibri" w:hAnsi="Calibri"/>
          <w:color w:val="525866"/>
          <w:sz w:val="22"/>
        </w:rPr>
        <w:t xml:space="preserve">GLW announced a multiyear agreement worth up to $6B with Meta for optical fiber, cable, and connectivity. Subsequently concluded two more 'large, long-term agreements with hyperscale customers, each similar in size and duration to the Meta agreement.' Optical Communications sales grew 36% YoY in Q1 CY2026. Q2 CY2026 guided to ~$4.6B total sales (+14% YoY). </w:t>
      </w:r>
    </w:p>
    <w:p>
      <w:pPr>
        <w:pStyle w:val="ListBullet"/>
        <w:ind w:left="360" w:hanging="360"/>
      </w:pPr>
      <w:r>
        <w:rPr>
          <w:rFonts w:ascii="Calibri" w:hAnsi="Calibri"/>
          <w:b/>
          <w:color w:val="525866"/>
          <w:sz w:val="22"/>
        </w:rPr>
        <w:t xml:space="preserve">Read-through for TEL: </w:t>
      </w:r>
      <w:r>
        <w:rPr>
          <w:rFonts w:ascii="Calibri" w:hAnsi="Calibri"/>
          <w:color w:val="525866"/>
          <w:sz w:val="22"/>
        </w:rPr>
        <w:t>GLW's hyperscaler optical agreements validate the scale of AI connectivity investment. Importantly, GLW's growth is in optical fiber/cable (scale-out architectures), while TEL's DDN business is primarily copper (scale-up, in-rack). GLW's commentary that 'more and more links fall to fiber optics' over time is consistent with TEL's 'copper AND optical' framing — both can grow simultaneously.</w:t>
      </w:r>
    </w:p>
    <w:p>
      <w:pPr>
        <w:pStyle w:val="ListBullet"/>
        <w:ind w:left="360" w:hanging="360"/>
      </w:pPr>
      <w:r>
        <w:rPr>
          <w:rFonts w:ascii="Calibri" w:hAnsi="Calibri"/>
          <w:b/>
          <w:color w:val="525866"/>
          <w:sz w:val="22"/>
        </w:rPr>
        <w:t xml:space="preserve">Optical Margin Expansion: </w:t>
      </w:r>
      <w:r>
        <w:rPr>
          <w:rFonts w:ascii="Calibri" w:hAnsi="Calibri"/>
          <w:color w:val="525866"/>
          <w:sz w:val="22"/>
        </w:rPr>
        <w:t xml:space="preserve">GLW indicated Optical Communications margins could 'eclipse gross profit margins or op profit margins greater than display' — a 'yes' to whether margins could exceed display business margins. Pricing environment 'clearly favorable for those who have capacity.' </w:t>
      </w:r>
    </w:p>
    <w:p>
      <w:pPr>
        <w:pStyle w:val="ListBullet"/>
        <w:ind w:left="360" w:hanging="360"/>
      </w:pPr>
      <w:r>
        <w:rPr>
          <w:rFonts w:ascii="Calibri" w:hAnsi="Calibri"/>
          <w:b/>
          <w:color w:val="525866"/>
          <w:sz w:val="22"/>
        </w:rPr>
        <w:t xml:space="preserve">Read-through for TEL: </w:t>
      </w:r>
      <w:r>
        <w:rPr>
          <w:rFonts w:ascii="Calibri" w:hAnsi="Calibri"/>
          <w:color w:val="525866"/>
          <w:sz w:val="22"/>
        </w:rPr>
        <w:t>GLW's favorable pricing environment in optical connectivity is consistent with TEL's ability to take pricing actions in its DDN business. TEL's RAM Photonics acquisition positions it to participate in the optical margin expansion opportunity.</w:t>
      </w:r>
    </w:p>
    <w:p>
      <w:pPr>
        <w:pStyle w:val="ListBullet"/>
        <w:ind w:left="360" w:hanging="360"/>
      </w:pPr>
      <w:r>
        <w:rPr>
          <w:rFonts w:ascii="Calibri" w:hAnsi="Calibri"/>
          <w:b/>
          <w:color w:val="525866"/>
          <w:sz w:val="22"/>
        </w:rPr>
        <w:t xml:space="preserve">Scale-Up vs. Scale-Out: </w:t>
      </w:r>
      <w:r>
        <w:rPr>
          <w:rFonts w:ascii="Calibri" w:hAnsi="Calibri"/>
          <w:color w:val="525866"/>
          <w:sz w:val="22"/>
        </w:rPr>
        <w:t xml:space="preserve">GLW noted 'technical progress and deep customer dialogues have increased the probability of the scale-up piece of the network making a difference in the near term in our revenue outlook.' GLW is developing a 'Photonics MAP' targeting OEM customers in Gen AI, separate from hyperscaler agreements. </w:t>
      </w:r>
    </w:p>
    <w:p>
      <w:pPr>
        <w:pStyle w:val="ListBullet"/>
        <w:ind w:left="360" w:hanging="360"/>
      </w:pPr>
      <w:r>
        <w:rPr>
          <w:rFonts w:ascii="Calibri" w:hAnsi="Calibri"/>
          <w:b/>
          <w:color w:val="525866"/>
          <w:sz w:val="22"/>
        </w:rPr>
        <w:t xml:space="preserve">Read-through for TEL: </w:t>
      </w:r>
      <w:r>
        <w:rPr>
          <w:rFonts w:ascii="Calibri" w:hAnsi="Calibri"/>
          <w:color w:val="525866"/>
          <w:sz w:val="22"/>
        </w:rPr>
        <w:t>GLW's commentary that scale-up optical is becoming more relevant near-term is a mild caution for TEL's copper-dominant DDN business. However, TEL's RAM Photonics acquisition and 'copper AND optical' positioning directly addresses this risk. TEL's management has consistently argued copper will remain the workhorse in-rack due to cost, power, and reliability advantages.</w:t>
      </w:r>
    </w:p>
    <w:p>
      <w:pPr>
        <w:pStyle w:val="Heading3"/>
      </w:pPr>
      <w:r>
        <w:rPr>
          <w:rFonts w:ascii="Calibri" w:hAnsi="Calibri"/>
          <w:b/>
          <w:color w:val="3B4259"/>
          <w:sz w:val="24"/>
        </w:rPr>
        <w:t>Flex (FLEX) — Q4 FY2026 Earnings (May 6, 2026)</w:t>
      </w:r>
    </w:p>
    <w:p>
      <w:r>
        <w:rPr>
          <w:rFonts w:ascii="Calibri" w:hAnsi="Calibri"/>
          <w:b/>
          <w:color w:val="525866"/>
          <w:sz w:val="22"/>
        </w:rPr>
        <w:t xml:space="preserve">Relevance to TEL: </w:t>
      </w:r>
      <w:r>
        <w:rPr>
          <w:rFonts w:ascii="Calibri" w:hAnsi="Calibri"/>
          <w:color w:val="525866"/>
          <w:sz w:val="22"/>
        </w:rPr>
        <w:t>FLEX's Cloud and Power Infrastructure (CPI) segment is a major AI data center infrastructure manufacturer. FLEX's commentary on power and thermal management demand is relevant to TEL's energy and industrial businesses.</w:t>
      </w:r>
    </w:p>
    <w:p>
      <w:pPr>
        <w:pStyle w:val="ListBullet"/>
        <w:ind w:left="360" w:hanging="360"/>
      </w:pPr>
      <w:r>
        <w:rPr>
          <w:rFonts w:ascii="Calibri" w:hAnsi="Calibri"/>
          <w:b/>
          <w:color w:val="525866"/>
          <w:sz w:val="22"/>
        </w:rPr>
        <w:t xml:space="preserve">AI Power Infrastructure Demand: </w:t>
      </w:r>
      <w:r>
        <w:rPr>
          <w:rFonts w:ascii="Calibri" w:hAnsi="Calibri"/>
          <w:color w:val="525866"/>
          <w:sz w:val="22"/>
        </w:rPr>
        <w:t xml:space="preserve">FLEX announced a spin-off of its CPI segment (SpinCo), targeting 65-75% revenue growth in FY27 and 80%+ in FY28. Secured 'substantial incremental business with several hyperscaler and data center customers, including Google.' CPI is 'booked out in terms of capacity and backlog for the next couple of years.' </w:t>
      </w:r>
    </w:p>
    <w:p>
      <w:pPr>
        <w:pStyle w:val="ListBullet"/>
        <w:ind w:left="360" w:hanging="360"/>
      </w:pPr>
      <w:r>
        <w:rPr>
          <w:rFonts w:ascii="Calibri" w:hAnsi="Calibri"/>
          <w:b/>
          <w:color w:val="525866"/>
          <w:sz w:val="22"/>
        </w:rPr>
        <w:t xml:space="preserve">Read-through for TEL: </w:t>
      </w:r>
      <w:r>
        <w:rPr>
          <w:rFonts w:ascii="Calibri" w:hAnsi="Calibri"/>
          <w:color w:val="525866"/>
          <w:sz w:val="22"/>
        </w:rPr>
        <w:t>FLEX's explosive AI power infrastructure demand is a positive read-through for TEL's energy business, which management noted is ~1/5 tied to power connections flowing into data centers (medium-voltage step-down connections). FLEX's 'grid to chip' power architecture requires TEL's power connectivity solutions at multiple points in the power chain.</w:t>
      </w:r>
    </w:p>
    <w:p>
      <w:pPr>
        <w:pStyle w:val="ListBullet"/>
        <w:ind w:left="360" w:hanging="360"/>
      </w:pPr>
      <w:r>
        <w:rPr>
          <w:rFonts w:ascii="Calibri" w:hAnsi="Calibri"/>
          <w:b/>
          <w:color w:val="525866"/>
          <w:sz w:val="22"/>
        </w:rPr>
        <w:t xml:space="preserve">Industrial Recovery: </w:t>
      </w:r>
      <w:r>
        <w:rPr>
          <w:rFonts w:ascii="Calibri" w:hAnsi="Calibri"/>
          <w:color w:val="525866"/>
          <w:sz w:val="22"/>
        </w:rPr>
        <w:t xml:space="preserve">FLEX's RMS segment (industrial, healthcare, auto) grew 13% YoY in Q4 FY26, with FY27 guided up 'low to mid-single digits, driven by strength in industrial and health care as automotive continues to stabilize.' </w:t>
      </w:r>
    </w:p>
    <w:p>
      <w:pPr>
        <w:pStyle w:val="ListBullet"/>
        <w:ind w:left="360" w:hanging="360"/>
      </w:pPr>
      <w:r>
        <w:rPr>
          <w:rFonts w:ascii="Calibri" w:hAnsi="Calibri"/>
          <w:b/>
          <w:color w:val="525866"/>
          <w:sz w:val="22"/>
        </w:rPr>
        <w:t xml:space="preserve">Read-through for TEL: </w:t>
      </w:r>
      <w:r>
        <w:rPr>
          <w:rFonts w:ascii="Calibri" w:hAnsi="Calibri"/>
          <w:color w:val="525866"/>
          <w:sz w:val="22"/>
        </w:rPr>
        <w:t>FLEX's industrial recovery commentary is consistent with TEL's ACL and industrial equipment order momentum. 'Automotive continues to stabilize' aligns with TEL's Q3 guidance for sequential improvement in Transportation.</w:t>
      </w:r>
    </w:p>
    <w:p>
      <w:pPr>
        <w:pStyle w:val="ListBullet"/>
        <w:ind w:left="360" w:hanging="360"/>
      </w:pPr>
      <w:r>
        <w:rPr>
          <w:rFonts w:ascii="Calibri" w:hAnsi="Calibri"/>
          <w:b/>
          <w:color w:val="525866"/>
          <w:sz w:val="22"/>
        </w:rPr>
        <w:t xml:space="preserve">Power Technology Shift: </w:t>
      </w:r>
      <w:r>
        <w:rPr>
          <w:rFonts w:ascii="Calibri" w:hAnsi="Calibri"/>
          <w:color w:val="525866"/>
          <w:sz w:val="22"/>
        </w:rPr>
        <w:t xml:space="preserve">FLEX highlighted a 'generational transformation' in electrical infrastructure — 'shift to solid-state transformers and 800-volt DC distribution' reshaping how power moves from grid to chip. Embedded power business 'accelerating pretty significantly' due to increased power density requirements. </w:t>
      </w:r>
    </w:p>
    <w:p>
      <w:pPr>
        <w:pStyle w:val="ListBullet"/>
        <w:ind w:left="360" w:hanging="360"/>
      </w:pPr>
      <w:r>
        <w:rPr>
          <w:rFonts w:ascii="Calibri" w:hAnsi="Calibri"/>
          <w:b/>
          <w:color w:val="525866"/>
          <w:sz w:val="22"/>
        </w:rPr>
        <w:t xml:space="preserve">Read-through for TEL: </w:t>
      </w:r>
      <w:r>
        <w:rPr>
          <w:rFonts w:ascii="Calibri" w:hAnsi="Calibri"/>
          <w:color w:val="525866"/>
          <w:sz w:val="22"/>
        </w:rPr>
        <w:t>The shift to higher-voltage DC distribution is a positive secular tailwind for TEL's power connectivity products in data centers and energy infrastructure. TEL's energy business (grid hardening, data center power connections) is well-positioned to benefit from this architectural shift.</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Report Date</w:t>
            </w:r>
          </w:p>
        </w:tc>
        <w:tc>
          <w:tcPr>
            <w:tcW w:type="dxa" w:w="2160"/>
            <w:shd w:val="clear" w:color="auto" w:fill="3B4259"/>
          </w:tcPr>
          <w:p>
            <w:r>
              <w:rPr>
                <w:rFonts w:ascii="Calibri" w:hAnsi="Calibri"/>
                <w:b/>
                <w:color w:val="FFFFFF"/>
                <w:sz w:val="22"/>
              </w:rPr>
              <w:t>Key Signal for TEL Q3 FY26</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APH</w:t>
            </w:r>
          </w:p>
        </w:tc>
        <w:tc>
          <w:tcPr>
            <w:tcW w:type="dxa" w:w="2160"/>
          </w:tcPr>
          <w:p>
            <w:r>
              <w:rPr>
                <w:rFonts w:ascii="Calibri" w:hAnsi="Calibri"/>
                <w:sz w:val="22"/>
              </w:rPr>
              <w:t>Apr 29, 2026</w:t>
            </w:r>
          </w:p>
        </w:tc>
        <w:tc>
          <w:tcPr>
            <w:tcW w:type="dxa" w:w="2160"/>
          </w:tcPr>
          <w:p>
            <w:r>
              <w:rPr>
                <w:rFonts w:ascii="Calibri" w:hAnsi="Calibri"/>
                <w:sz w:val="22"/>
              </w:rPr>
              <w:t>IT datacom guided +low teens seq. for Q2 CY26 (TEL's Q3); industrial up high-single digits seq.; record B2B of 1.24x</w:t>
            </w:r>
          </w:p>
        </w:tc>
        <w:tc>
          <w:tcPr>
            <w:tcW w:type="dxa" w:w="2160"/>
          </w:tcPr>
          <w:p>
            <w:r>
              <w:rPr>
                <w:rFonts w:ascii="Calibri" w:hAnsi="Calibri"/>
                <w:b/>
                <w:color w:val="30A46C"/>
                <w:sz w:val="22"/>
              </w:rPr>
              <w:t>Positive</w:t>
            </w:r>
          </w:p>
        </w:tc>
      </w:tr>
      <w:tr>
        <w:tc>
          <w:tcPr>
            <w:tcW w:type="dxa" w:w="2160"/>
          </w:tcPr>
          <w:p>
            <w:r>
              <w:rPr>
                <w:rFonts w:ascii="Calibri" w:hAnsi="Calibri"/>
                <w:sz w:val="22"/>
              </w:rPr>
              <w:t>CLS</w:t>
            </w:r>
          </w:p>
        </w:tc>
        <w:tc>
          <w:tcPr>
            <w:tcW w:type="dxa" w:w="2160"/>
          </w:tcPr>
          <w:p>
            <w:r>
              <w:rPr>
                <w:rFonts w:ascii="Calibri" w:hAnsi="Calibri"/>
                <w:sz w:val="22"/>
              </w:rPr>
              <w:t>Apr 28, 2026</w:t>
            </w:r>
          </w:p>
        </w:tc>
        <w:tc>
          <w:tcPr>
            <w:tcW w:type="dxa" w:w="2160"/>
          </w:tcPr>
          <w:p>
            <w:r>
              <w:rPr>
                <w:rFonts w:ascii="Calibri" w:hAnsi="Calibri"/>
                <w:sz w:val="22"/>
              </w:rPr>
              <w:t>Q2 CY26 revenue +49% YoY; AI/ML compute +130%; FY26 raised to $19B; backlog 'strongest ever'</w:t>
            </w:r>
          </w:p>
        </w:tc>
        <w:tc>
          <w:tcPr>
            <w:tcW w:type="dxa" w:w="2160"/>
          </w:tcPr>
          <w:p>
            <w:r>
              <w:rPr>
                <w:rFonts w:ascii="Calibri" w:hAnsi="Calibri"/>
                <w:b/>
                <w:color w:val="30A46C"/>
                <w:sz w:val="22"/>
              </w:rPr>
              <w:t>Positive</w:t>
            </w:r>
          </w:p>
        </w:tc>
      </w:tr>
      <w:tr>
        <w:tc>
          <w:tcPr>
            <w:tcW w:type="dxa" w:w="2160"/>
          </w:tcPr>
          <w:p>
            <w:r>
              <w:rPr>
                <w:rFonts w:ascii="Calibri" w:hAnsi="Calibri"/>
                <w:sz w:val="22"/>
              </w:rPr>
              <w:t>JBL</w:t>
            </w:r>
          </w:p>
        </w:tc>
        <w:tc>
          <w:tcPr>
            <w:tcW w:type="dxa" w:w="2160"/>
          </w:tcPr>
          <w:p>
            <w:r>
              <w:rPr>
                <w:rFonts w:ascii="Calibri" w:hAnsi="Calibri"/>
                <w:sz w:val="22"/>
              </w:rPr>
              <w:t>Jun 17, 2026</w:t>
            </w:r>
          </w:p>
        </w:tc>
        <w:tc>
          <w:tcPr>
            <w:tcW w:type="dxa" w:w="2160"/>
          </w:tcPr>
          <w:p>
            <w:r>
              <w:rPr>
                <w:rFonts w:ascii="Calibri" w:hAnsi="Calibri"/>
                <w:sz w:val="22"/>
              </w:rPr>
              <w:t>AI revenue raised to $13.6B (+50% YoY); third hyperscaler win; auto stronger than expected; FY27 AI growth similar % to FY26</w:t>
            </w:r>
          </w:p>
        </w:tc>
        <w:tc>
          <w:tcPr>
            <w:tcW w:type="dxa" w:w="2160"/>
          </w:tcPr>
          <w:p>
            <w:r>
              <w:rPr>
                <w:rFonts w:ascii="Calibri" w:hAnsi="Calibri"/>
                <w:b/>
                <w:color w:val="30A46C"/>
                <w:sz w:val="22"/>
              </w:rPr>
              <w:t>Positive</w:t>
            </w:r>
          </w:p>
        </w:tc>
      </w:tr>
      <w:tr>
        <w:tc>
          <w:tcPr>
            <w:tcW w:type="dxa" w:w="2160"/>
          </w:tcPr>
          <w:p>
            <w:r>
              <w:rPr>
                <w:rFonts w:ascii="Calibri" w:hAnsi="Calibri"/>
                <w:sz w:val="22"/>
              </w:rPr>
              <w:t>FN</w:t>
            </w:r>
          </w:p>
        </w:tc>
        <w:tc>
          <w:tcPr>
            <w:tcW w:type="dxa" w:w="2160"/>
          </w:tcPr>
          <w:p>
            <w:r>
              <w:rPr>
                <w:rFonts w:ascii="Calibri" w:hAnsi="Calibri"/>
                <w:sz w:val="22"/>
              </w:rPr>
              <w:t>May 4, 2026</w:t>
            </w:r>
          </w:p>
        </w:tc>
        <w:tc>
          <w:tcPr>
            <w:tcW w:type="dxa" w:w="2160"/>
          </w:tcPr>
          <w:p>
            <w:r>
              <w:rPr>
                <w:rFonts w:ascii="Calibri" w:hAnsi="Calibri"/>
                <w:sz w:val="22"/>
              </w:rPr>
              <w:t>Record revenue; demand 'far exceeded' supply; DCI +90% YoY; Q4 guided +40% YoY; capacity expanding aggressively</w:t>
            </w:r>
          </w:p>
        </w:tc>
        <w:tc>
          <w:tcPr>
            <w:tcW w:type="dxa" w:w="2160"/>
          </w:tcPr>
          <w:p>
            <w:r>
              <w:rPr>
                <w:rFonts w:ascii="Calibri" w:hAnsi="Calibri"/>
                <w:b/>
                <w:color w:val="30A46C"/>
                <w:sz w:val="22"/>
              </w:rPr>
              <w:t>Positive</w:t>
            </w:r>
          </w:p>
        </w:tc>
      </w:tr>
      <w:tr>
        <w:tc>
          <w:tcPr>
            <w:tcW w:type="dxa" w:w="2160"/>
          </w:tcPr>
          <w:p>
            <w:r>
              <w:rPr>
                <w:rFonts w:ascii="Calibri" w:hAnsi="Calibri"/>
                <w:sz w:val="22"/>
              </w:rPr>
              <w:t>GLW</w:t>
            </w:r>
          </w:p>
        </w:tc>
        <w:tc>
          <w:tcPr>
            <w:tcW w:type="dxa" w:w="2160"/>
          </w:tcPr>
          <w:p>
            <w:r>
              <w:rPr>
                <w:rFonts w:ascii="Calibri" w:hAnsi="Calibri"/>
                <w:sz w:val="22"/>
              </w:rPr>
              <w:t>Apr 28 / May 6, 2026</w:t>
            </w:r>
          </w:p>
        </w:tc>
        <w:tc>
          <w:tcPr>
            <w:tcW w:type="dxa" w:w="2160"/>
          </w:tcPr>
          <w:p>
            <w:r>
              <w:rPr>
                <w:rFonts w:ascii="Calibri" w:hAnsi="Calibri"/>
                <w:sz w:val="22"/>
              </w:rPr>
              <w:t>Three hyperscaler optical agreements; scale-up optical becoming more relevant near-term (mild caution for copper); pricing favorable</w:t>
            </w:r>
          </w:p>
        </w:tc>
        <w:tc>
          <w:tcPr>
            <w:tcW w:type="dxa" w:w="2160"/>
          </w:tcPr>
          <w:p>
            <w:r>
              <w:rPr>
                <w:rFonts w:ascii="Calibri" w:hAnsi="Calibri"/>
                <w:b/>
                <w:color w:val="002FA7"/>
                <w:sz w:val="22"/>
              </w:rPr>
              <w:t>Mixed</w:t>
            </w:r>
          </w:p>
        </w:tc>
      </w:tr>
      <w:tr>
        <w:tc>
          <w:tcPr>
            <w:tcW w:type="dxa" w:w="2160"/>
          </w:tcPr>
          <w:p>
            <w:r>
              <w:rPr>
                <w:rFonts w:ascii="Calibri" w:hAnsi="Calibri"/>
                <w:sz w:val="22"/>
              </w:rPr>
              <w:t>FLEX</w:t>
            </w:r>
          </w:p>
        </w:tc>
        <w:tc>
          <w:tcPr>
            <w:tcW w:type="dxa" w:w="2160"/>
          </w:tcPr>
          <w:p>
            <w:r>
              <w:rPr>
                <w:rFonts w:ascii="Calibri" w:hAnsi="Calibri"/>
                <w:sz w:val="22"/>
              </w:rPr>
              <w:t>May 6, 2026</w:t>
            </w:r>
          </w:p>
        </w:tc>
        <w:tc>
          <w:tcPr>
            <w:tcW w:type="dxa" w:w="2160"/>
          </w:tcPr>
          <w:p>
            <w:r>
              <w:rPr>
                <w:rFonts w:ascii="Calibri" w:hAnsi="Calibri"/>
                <w:sz w:val="22"/>
              </w:rPr>
              <w:t>CPI (AI power infra) booked out for 2 years; industrial recovery; power technology shift to 800V DC positive for TEL energy</w:t>
            </w:r>
          </w:p>
        </w:tc>
        <w:tc>
          <w:tcPr>
            <w:tcW w:type="dxa" w:w="2160"/>
          </w:tcPr>
          <w:p>
            <w:r>
              <w:rPr>
                <w:rFonts w:ascii="Calibri" w:hAnsi="Calibri"/>
                <w:b/>
                <w:color w:val="30A46C"/>
                <w:sz w:val="22"/>
              </w:rPr>
              <w:t>Positive</w:t>
            </w:r>
          </w:p>
        </w:tc>
      </w:tr>
    </w:tbl>
    <w:p>
      <w:r>
        <w:rPr>
          <w:rFonts w:ascii="Calibri" w:hAnsi="Calibri"/>
          <w:b/>
          <w:color w:val="525866"/>
          <w:sz w:val="22"/>
        </w:rPr>
        <w:t xml:space="preserve">Overall peer read-through: </w:t>
      </w:r>
      <w:r>
        <w:rPr>
          <w:rFonts w:ascii="Calibri" w:hAnsi="Calibri"/>
          <w:color w:val="525866"/>
          <w:sz w:val="22"/>
        </w:rPr>
        <w:t>5 of 6 peers are unambiguously positive for TEL's Q3 FY26 print. The only nuance is GLW's commentary on scale-up optical becoming more relevant near-term, which is a risk to TEL's copper-dominant DDN positioning — but TEL's RAM Photonics acquisition and 'copper AND optical' strategy directly addresses this. The breadth and magnitude of AI demand acceleration across peers (APH, CLS, JBL, FN all raising outlooks) provides strong conviction that TEL's DDN AI revenue ramp is on track or ahead of the $2.4B FY26 target.</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Q2 earnings is the CEO's Bernstein conference commentary (May 14) characterizing both automation and commercial transportation recoveries as 'early inflection' — this broadens the growth narrative beyond AI and reinforces the FY26 above-target organic growth thesis.</w:t>
      </w:r>
    </w:p>
    <w:p>
      <w:pPr>
        <w:pStyle w:val="ListBullet"/>
        <w:ind w:left="360" w:hanging="360"/>
      </w:pPr>
      <w:r>
        <w:rPr>
          <w:rFonts w:ascii="Calibri" w:hAnsi="Calibri"/>
          <w:b/>
          <w:color w:val="525866"/>
          <w:sz w:val="22"/>
        </w:rPr>
        <w:t xml:space="preserve">May 14, 2026 — Bernstein Strategic Decisions Conference (CEO Presentation): </w:t>
      </w:r>
      <w:r>
        <w:rPr>
          <w:rFonts w:ascii="Calibri" w:hAnsi="Calibri"/>
          <w:color w:val="525866"/>
          <w:sz w:val="22"/>
        </w:rPr>
        <w:t xml:space="preserve">CEO characterized factory automation and commercial transportation recoveries as 'early inflection' with both businesses 'well below prior peak levels,' suggesting meaningful runway. Provided new granular detail on energy business (~2/3 North America grid hardening, ~1/5 data center power connections). Quantified EV content at ~2x ICE vehicles. Disclosed TEL has grown engineering workforce to ~10,000 engineers with co-location at customer design centers as primary competitive moat. Confirmed internal AI cloud focused on manufacturing/engineering applications. </w:t>
      </w:r>
    </w:p>
    <w:p>
      <w:pPr>
        <w:pStyle w:val="ListBullet"/>
        <w:ind w:left="360" w:hanging="360"/>
      </w:pPr>
      <w:r>
        <w:rPr>
          <w:rFonts w:ascii="Calibri" w:hAnsi="Calibri"/>
          <w:b/>
          <w:color w:val="525866"/>
          <w:sz w:val="22"/>
        </w:rPr>
        <w:t xml:space="preserve">Implication: </w:t>
      </w:r>
      <w:r>
        <w:rPr>
          <w:rFonts w:ascii="Calibri" w:hAnsi="Calibri"/>
          <w:color w:val="525866"/>
          <w:sz w:val="22"/>
        </w:rPr>
        <w:t>Reinforces the broadening growth narrative — AI is the headline, but industrial recovery and transportation content growth provide durable earnings power. The engineering moat commentary supports premium valuation arguments.</w:t>
      </w:r>
    </w:p>
    <w:p>
      <w:pPr>
        <w:pStyle w:val="ListBullet"/>
        <w:ind w:left="360" w:hanging="360"/>
      </w:pPr>
      <w:r>
        <w:rPr>
          <w:rFonts w:ascii="Calibri" w:hAnsi="Calibri"/>
          <w:b/>
          <w:color w:val="525866"/>
          <w:sz w:val="22"/>
        </w:rPr>
        <w:t xml:space="preserve">Apr 22, 2026 — Q2 FY2026 Earnings Beat + AI Revenue Guidance Raise: </w:t>
      </w:r>
      <w:r>
        <w:rPr>
          <w:rFonts w:ascii="Calibri" w:hAnsi="Calibri"/>
          <w:color w:val="525866"/>
          <w:sz w:val="22"/>
        </w:rPr>
        <w:t xml:space="preserve">Revenue of $4.744B and adj. EPS of $2.725 both above guidance. AI revenue guidance raised by $150M (entirely in 2H FY26), putting DDN AI revenue approaching $2.4B for FY26. Record orders of $5.3B with book-to-bill of 1.12x. 10% quarterly dividend increase and new share repurchase authorization announced. RAM Photonics acquisition completed (passive optical connectivity technology). </w:t>
      </w:r>
    </w:p>
    <w:p>
      <w:pPr>
        <w:pStyle w:val="ListBullet"/>
        <w:ind w:left="360" w:hanging="360"/>
      </w:pPr>
      <w:r>
        <w:rPr>
          <w:rFonts w:ascii="Calibri" w:hAnsi="Calibri"/>
          <w:b/>
          <w:color w:val="525866"/>
          <w:sz w:val="22"/>
        </w:rPr>
        <w:t xml:space="preserve">Implication: </w:t>
      </w:r>
      <w:r>
        <w:rPr>
          <w:rFonts w:ascii="Calibri" w:hAnsi="Calibri"/>
          <w:color w:val="525866"/>
          <w:sz w:val="22"/>
        </w:rPr>
        <w:t>Second consecutive AI revenue guidance raise signals accelerating hyperscaler demand. Dividend increase and buyback authorization signal management confidence in cash generation. RAM Photonics positions TEL for the optical connectivity opportunity in scale-out architectures.</w:t>
      </w:r>
    </w:p>
    <w:p>
      <w:pPr>
        <w:pStyle w:val="ListBullet"/>
        <w:ind w:left="360" w:hanging="360"/>
      </w:pPr>
      <w:r>
        <w:rPr>
          <w:rFonts w:ascii="Calibri" w:hAnsi="Calibri"/>
          <w:b/>
          <w:color w:val="525866"/>
          <w:sz w:val="22"/>
        </w:rPr>
        <w:t xml:space="preserve">Apr 22, 2026 — RAM Photonics Acquisition Completed: </w:t>
      </w:r>
      <w:r>
        <w:rPr>
          <w:rFonts w:ascii="Calibri" w:hAnsi="Calibri"/>
          <w:color w:val="525866"/>
          <w:sz w:val="22"/>
        </w:rPr>
        <w:t xml:space="preserve">TEL acquired a leading technology for passive optical connectivity solutions, enabling advancements in high-density fiber array connections (connecting optical fiber to co-packaged optics). Positions TEL in the scale-out AI architecture opportunity. </w:t>
      </w:r>
    </w:p>
    <w:p>
      <w:pPr>
        <w:pStyle w:val="ListBullet"/>
        <w:ind w:left="360" w:hanging="360"/>
      </w:pPr>
      <w:r>
        <w:rPr>
          <w:rFonts w:ascii="Calibri" w:hAnsi="Calibri"/>
          <w:b/>
          <w:color w:val="525866"/>
          <w:sz w:val="22"/>
        </w:rPr>
        <w:t xml:space="preserve">Implication: </w:t>
      </w:r>
      <w:r>
        <w:rPr>
          <w:rFonts w:ascii="Calibri" w:hAnsi="Calibri"/>
          <w:color w:val="525866"/>
          <w:sz w:val="22"/>
        </w:rPr>
        <w:t>Directly addresses the copper-vs-optical debate. TEL is now positioned in both copper (scale-up, in-rack) and optical (scale-out, rack-to-rack) connectivity, expanding the AI TAM. Validates the 'copper AND optical' strategic framing.</w:t>
      </w:r>
    </w:p>
    <w:p>
      <w:pPr>
        <w:pStyle w:val="ListBullet"/>
        <w:ind w:left="360" w:hanging="360"/>
      </w:pPr>
      <w:r>
        <w:rPr>
          <w:rFonts w:ascii="Calibri" w:hAnsi="Calibri"/>
          <w:b/>
          <w:color w:val="525866"/>
          <w:sz w:val="22"/>
        </w:rPr>
        <w:t xml:space="preserve">Feb 17, 2026 — New $3B Revolving Credit Facility: </w:t>
      </w:r>
      <w:r>
        <w:rPr>
          <w:rFonts w:ascii="Calibri" w:hAnsi="Calibri"/>
          <w:color w:val="525866"/>
          <w:sz w:val="22"/>
        </w:rPr>
        <w:t xml:space="preserve">TEL secured a new $3B revolving credit facility, doubling the previous line. </w:t>
      </w:r>
    </w:p>
    <w:p>
      <w:pPr>
        <w:pStyle w:val="ListBullet"/>
        <w:ind w:left="360" w:hanging="360"/>
      </w:pPr>
      <w:r>
        <w:rPr>
          <w:rFonts w:ascii="Calibri" w:hAnsi="Calibri"/>
          <w:b/>
          <w:color w:val="525866"/>
          <w:sz w:val="22"/>
        </w:rPr>
        <w:t xml:space="preserve">Implication: </w:t>
      </w:r>
      <w:r>
        <w:rPr>
          <w:rFonts w:ascii="Calibri" w:hAnsi="Calibri"/>
          <w:color w:val="525866"/>
          <w:sz w:val="22"/>
        </w:rPr>
        <w:t>Provides significant financial flexibility for M&amp;A (pipeline described as 'pretty active' on Q2 call) and capital returns. Signals management confidence in the balance sheet and cash generation outlook.</w:t>
      </w:r>
    </w:p>
    <w:p>
      <w:pPr>
        <w:pStyle w:val="ListBullet"/>
        <w:ind w:left="360" w:hanging="360"/>
      </w:pPr>
      <w:r>
        <w:rPr>
          <w:rFonts w:ascii="Calibri" w:hAnsi="Calibri"/>
          <w:b/>
          <w:color w:val="525866"/>
          <w:sz w:val="22"/>
        </w:rPr>
        <w:t xml:space="preserve">Feb 9, 2026 — $750M Notes Offering: </w:t>
      </w:r>
      <w:r>
        <w:rPr>
          <w:rFonts w:ascii="Calibri" w:hAnsi="Calibri"/>
          <w:color w:val="525866"/>
          <w:sz w:val="22"/>
        </w:rPr>
        <w:t xml:space="preserve">TEL's subsidiary sold $750M in notes to refinance existing debt. </w:t>
      </w:r>
    </w:p>
    <w:p>
      <w:pPr>
        <w:pStyle w:val="ListBullet"/>
        <w:ind w:left="360" w:hanging="360"/>
      </w:pPr>
      <w:r>
        <w:rPr>
          <w:rFonts w:ascii="Calibri" w:hAnsi="Calibri"/>
          <w:b/>
          <w:color w:val="525866"/>
          <w:sz w:val="22"/>
        </w:rPr>
        <w:t xml:space="preserve">Implication: </w:t>
      </w:r>
      <w:r>
        <w:rPr>
          <w:rFonts w:ascii="Calibri" w:hAnsi="Calibri"/>
          <w:color w:val="525866"/>
          <w:sz w:val="22"/>
        </w:rPr>
        <w:t>Routine debt management; extends maturity profile and reduces near-term refinancing risk.</w:t>
      </w:r>
    </w:p>
    <w:p>
      <w:pPr>
        <w:pStyle w:val="ListBullet"/>
        <w:ind w:left="360" w:hanging="360"/>
      </w:pPr>
      <w:r>
        <w:rPr>
          <w:rFonts w:ascii="Calibri" w:hAnsi="Calibri"/>
          <w:b/>
          <w:color w:val="525866"/>
          <w:sz w:val="22"/>
        </w:rPr>
        <w:t xml:space="preserve">Mar 11, 2026 — Shareholders Approve Board, Executive Pay, and Share Buyback Plan: </w:t>
      </w:r>
      <w:r>
        <w:rPr>
          <w:rFonts w:ascii="Calibri" w:hAnsi="Calibri"/>
          <w:color w:val="525866"/>
          <w:sz w:val="22"/>
        </w:rPr>
        <w:t xml:space="preserve">Annual meeting approvals including the new share repurchase authorization announced at Q2 earnings. </w:t>
      </w:r>
    </w:p>
    <w:p>
      <w:pPr>
        <w:pStyle w:val="ListBullet"/>
        <w:ind w:left="360" w:hanging="360"/>
      </w:pPr>
      <w:r>
        <w:rPr>
          <w:rFonts w:ascii="Calibri" w:hAnsi="Calibri"/>
          <w:b/>
          <w:color w:val="525866"/>
          <w:sz w:val="22"/>
        </w:rPr>
        <w:t xml:space="preserve">Implication: </w:t>
      </w:r>
      <w:r>
        <w:rPr>
          <w:rFonts w:ascii="Calibri" w:hAnsi="Calibri"/>
          <w:color w:val="525866"/>
          <w:sz w:val="22"/>
        </w:rPr>
        <w:t>Confirms shareholder support for capital allocation strategy. Buyback authorization provides ongoing EPS support.</w:t>
      </w:r>
    </w:p>
    <w:p>
      <w:pPr>
        <w:pStyle w:val="ListBullet"/>
        <w:ind w:left="360" w:hanging="360"/>
      </w:pPr>
      <w:r>
        <w:rPr>
          <w:rFonts w:ascii="Calibri" w:hAnsi="Calibri"/>
          <w:b/>
          <w:color w:val="525866"/>
          <w:sz w:val="22"/>
        </w:rPr>
        <w:t xml:space="preserve">Jul 1, 2026 — Q3 FY2026 Earnings Date Announcement: </w:t>
      </w:r>
      <w:r>
        <w:rPr>
          <w:rFonts w:ascii="Calibri" w:hAnsi="Calibri"/>
          <w:color w:val="525866"/>
          <w:sz w:val="22"/>
        </w:rPr>
        <w:t xml:space="preserve">TEL confirmed July 22, 2026 as the Q3 FY2026 earnings release date. No pre-announcement or guidance update issued. </w:t>
      </w:r>
    </w:p>
    <w:p>
      <w:pPr>
        <w:pStyle w:val="ListBullet"/>
        <w:ind w:left="360" w:hanging="360"/>
      </w:pPr>
      <w:r>
        <w:rPr>
          <w:rFonts w:ascii="Calibri" w:hAnsi="Calibri"/>
          <w:b/>
          <w:color w:val="525866"/>
          <w:sz w:val="22"/>
        </w:rPr>
        <w:t xml:space="preserve">Implication: </w:t>
      </w:r>
      <w:r>
        <w:rPr>
          <w:rFonts w:ascii="Calibri" w:hAnsi="Calibri"/>
          <w:color w:val="525866"/>
          <w:sz w:val="22"/>
        </w:rPr>
        <w:t>Absence of a pre-announcement (positive or negative) is consistent with results tracking in-line with or above guidance. Management has not felt the need to update the market, which is a mild positive signal.</w:t>
      </w:r>
    </w:p>
    <w:p>
      <w:pPr>
        <w:pStyle w:val="ListBullet"/>
        <w:ind w:left="360" w:hanging="360"/>
      </w:pPr>
      <w:r>
        <w:rPr>
          <w:rFonts w:ascii="Calibri" w:hAnsi="Calibri"/>
          <w:b/>
          <w:color w:val="525866"/>
          <w:sz w:val="22"/>
        </w:rPr>
        <w:t xml:space="preserve">No Analyst Rating Changes Since Q2 Earnings: </w:t>
      </w:r>
      <w:r>
        <w:rPr>
          <w:rFonts w:ascii="Calibri" w:hAnsi="Calibri"/>
          <w:color w:val="525866"/>
          <w:sz w:val="22"/>
        </w:rPr>
        <w:t xml:space="preserve">No upgrades or downgrades identified in the post-Q2 period through July 21, 2026. </w:t>
      </w:r>
    </w:p>
    <w:p>
      <w:pPr>
        <w:pStyle w:val="ListBullet"/>
        <w:ind w:left="360" w:hanging="360"/>
      </w:pPr>
      <w:r>
        <w:rPr>
          <w:rFonts w:ascii="Calibri" w:hAnsi="Calibri"/>
          <w:b/>
          <w:color w:val="525866"/>
          <w:sz w:val="22"/>
        </w:rPr>
        <w:t xml:space="preserve">Implication: </w:t>
      </w:r>
      <w:r>
        <w:rPr>
          <w:rFonts w:ascii="Calibri" w:hAnsi="Calibri"/>
          <w:color w:val="525866"/>
          <w:sz w:val="22"/>
        </w:rPr>
        <w:t>Analyst community appears to be in a 'wait and see' mode ahead of Q3 earnings. The absence of downgrades despite the stock's underperformance suggests analysts remain constructive on the fundamental story.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since Q2 earnings — the only transactions are 10b5-1 plan-driven option exercises and tax withholding sales by the President of Industrial Solutions, plus routine RSU grants. Nothing signals unusual insider conviction in either direction.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Kroeger, Shadrak W.</w:t>
            </w:r>
          </w:p>
        </w:tc>
        <w:tc>
          <w:tcPr>
            <w:tcW w:type="dxa" w:w="1440"/>
          </w:tcPr>
          <w:p>
            <w:r>
              <w:rPr>
                <w:rFonts w:ascii="Calibri" w:hAnsi="Calibri"/>
                <w:sz w:val="22"/>
              </w:rPr>
              <w:t>President, Industrial Solutions</w:t>
            </w:r>
          </w:p>
        </w:tc>
        <w:tc>
          <w:tcPr>
            <w:tcW w:type="dxa" w:w="1440"/>
          </w:tcPr>
          <w:p>
            <w:r>
              <w:rPr>
                <w:rFonts w:ascii="Calibri" w:hAnsi="Calibri"/>
                <w:sz w:val="22"/>
              </w:rPr>
              <w:t>10b5-1 Option Exercise (M code)</w:t>
            </w:r>
          </w:p>
        </w:tc>
        <w:tc>
          <w:tcPr>
            <w:tcW w:type="dxa" w:w="1440"/>
          </w:tcPr>
          <w:p>
            <w:r>
              <w:rPr>
                <w:rFonts w:ascii="Calibri" w:hAnsi="Calibri"/>
                <w:sz w:val="22"/>
              </w:rPr>
              <w:t>9,400 shares</w:t>
            </w:r>
          </w:p>
        </w:tc>
        <w:tc>
          <w:tcPr>
            <w:tcW w:type="dxa" w:w="1440"/>
          </w:tcPr>
          <w:p>
            <w:r>
              <w:rPr>
                <w:rFonts w:ascii="Calibri" w:hAnsi="Calibri"/>
                <w:sz w:val="22"/>
              </w:rPr>
              <w:t>May 6, 2026</w:t>
            </w:r>
          </w:p>
        </w:tc>
        <w:tc>
          <w:tcPr>
            <w:tcW w:type="dxa" w:w="1440"/>
          </w:tcPr>
          <w:p>
            <w:r>
              <w:rPr>
                <w:rFonts w:ascii="Calibri" w:hAnsi="Calibri"/>
                <w:sz w:val="22"/>
              </w:rPr>
              <w:t>Planned exercise under 10b5-1 plan; not discretionary</w:t>
            </w:r>
          </w:p>
        </w:tc>
      </w:tr>
      <w:tr>
        <w:tc>
          <w:tcPr>
            <w:tcW w:type="dxa" w:w="1440"/>
          </w:tcPr>
          <w:p>
            <w:r>
              <w:rPr>
                <w:rFonts w:ascii="Calibri" w:hAnsi="Calibri"/>
                <w:sz w:val="22"/>
              </w:rPr>
              <w:t>Kroeger, Shadrak W.</w:t>
            </w:r>
          </w:p>
        </w:tc>
        <w:tc>
          <w:tcPr>
            <w:tcW w:type="dxa" w:w="1440"/>
          </w:tcPr>
          <w:p>
            <w:r>
              <w:rPr>
                <w:rFonts w:ascii="Calibri" w:hAnsi="Calibri"/>
                <w:sz w:val="22"/>
              </w:rPr>
              <w:t>President, Industrial Solutions</w:t>
            </w:r>
          </w:p>
        </w:tc>
        <w:tc>
          <w:tcPr>
            <w:tcW w:type="dxa" w:w="1440"/>
          </w:tcPr>
          <w:p>
            <w:r>
              <w:rPr>
                <w:rFonts w:ascii="Calibri" w:hAnsi="Calibri"/>
                <w:sz w:val="22"/>
              </w:rPr>
              <w:t>10b5-1 Planned Sale (S code)</w:t>
            </w:r>
          </w:p>
        </w:tc>
        <w:tc>
          <w:tcPr>
            <w:tcW w:type="dxa" w:w="1440"/>
          </w:tcPr>
          <w:p>
            <w:r>
              <w:rPr>
                <w:rFonts w:ascii="Calibri" w:hAnsi="Calibri"/>
                <w:sz w:val="22"/>
              </w:rPr>
              <w:t>9,400 shares</w:t>
            </w:r>
          </w:p>
        </w:tc>
        <w:tc>
          <w:tcPr>
            <w:tcW w:type="dxa" w:w="1440"/>
          </w:tcPr>
          <w:p>
            <w:r>
              <w:rPr>
                <w:rFonts w:ascii="Calibri" w:hAnsi="Calibri"/>
                <w:sz w:val="22"/>
              </w:rPr>
              <w:t>May 6-7, 2026</w:t>
            </w:r>
          </w:p>
        </w:tc>
        <w:tc>
          <w:tcPr>
            <w:tcW w:type="dxa" w:w="1440"/>
          </w:tcPr>
          <w:p>
            <w:r>
              <w:rPr>
                <w:rFonts w:ascii="Calibri" w:hAnsi="Calibri"/>
                <w:sz w:val="22"/>
              </w:rPr>
              <w:t>Sale following option exercise under 10b5-1 plan; obligation-driven, not discretionary</w:t>
            </w:r>
          </w:p>
        </w:tc>
      </w:tr>
      <w:tr>
        <w:tc>
          <w:tcPr>
            <w:tcW w:type="dxa" w:w="1440"/>
          </w:tcPr>
          <w:p>
            <w:r>
              <w:rPr>
                <w:rFonts w:ascii="Calibri" w:hAnsi="Calibri"/>
                <w:sz w:val="22"/>
              </w:rPr>
              <w:t>Sagar, Malavika</w:t>
            </w:r>
          </w:p>
        </w:tc>
        <w:tc>
          <w:tcPr>
            <w:tcW w:type="dxa" w:w="1440"/>
          </w:tcPr>
          <w:p>
            <w:r>
              <w:rPr>
                <w:rFonts w:ascii="Calibri" w:hAnsi="Calibri"/>
                <w:sz w:val="22"/>
              </w:rPr>
              <w:t>SVP, Chief Human Resources Officer</w:t>
            </w:r>
          </w:p>
        </w:tc>
        <w:tc>
          <w:tcPr>
            <w:tcW w:type="dxa" w:w="1440"/>
          </w:tcPr>
          <w:p>
            <w:r>
              <w:rPr>
                <w:rFonts w:ascii="Calibri" w:hAnsi="Calibri"/>
                <w:sz w:val="22"/>
              </w:rPr>
              <w:t>Tax Withholding Sale (F code)</w:t>
            </w:r>
          </w:p>
        </w:tc>
        <w:tc>
          <w:tcPr>
            <w:tcW w:type="dxa" w:w="1440"/>
          </w:tcPr>
          <w:p>
            <w:r>
              <w:rPr>
                <w:rFonts w:ascii="Calibri" w:hAnsi="Calibri"/>
                <w:sz w:val="22"/>
              </w:rPr>
              <w:t>297 shares</w:t>
            </w:r>
          </w:p>
        </w:tc>
        <w:tc>
          <w:tcPr>
            <w:tcW w:type="dxa" w:w="1440"/>
          </w:tcPr>
          <w:p>
            <w:r>
              <w:rPr>
                <w:rFonts w:ascii="Calibri" w:hAnsi="Calibri"/>
                <w:sz w:val="22"/>
              </w:rPr>
              <w:t>May 15, 2026</w:t>
            </w:r>
          </w:p>
        </w:tc>
        <w:tc>
          <w:tcPr>
            <w:tcW w:type="dxa" w:w="1440"/>
          </w:tcPr>
          <w:p>
            <w:r>
              <w:rPr>
                <w:rFonts w:ascii="Calibri" w:hAnsi="Calibri"/>
                <w:sz w:val="22"/>
              </w:rPr>
              <w:t>Shares withheld for tax obligation on RSU vesting; not a discretionary sale</w:t>
            </w:r>
          </w:p>
        </w:tc>
      </w:tr>
      <w:tr>
        <w:tc>
          <w:tcPr>
            <w:tcW w:type="dxa" w:w="1440"/>
          </w:tcPr>
          <w:p>
            <w:r>
              <w:rPr>
                <w:rFonts w:ascii="Calibri" w:hAnsi="Calibri"/>
                <w:sz w:val="22"/>
              </w:rPr>
              <w:t>Kroeger, Shadrak W.</w:t>
            </w:r>
          </w:p>
        </w:tc>
        <w:tc>
          <w:tcPr>
            <w:tcW w:type="dxa" w:w="1440"/>
          </w:tcPr>
          <w:p>
            <w:r>
              <w:rPr>
                <w:rFonts w:ascii="Calibri" w:hAnsi="Calibri"/>
                <w:sz w:val="22"/>
              </w:rPr>
              <w:t>President, Industrial Solutions</w:t>
            </w:r>
          </w:p>
        </w:tc>
        <w:tc>
          <w:tcPr>
            <w:tcW w:type="dxa" w:w="1440"/>
          </w:tcPr>
          <w:p>
            <w:r>
              <w:rPr>
                <w:rFonts w:ascii="Calibri" w:hAnsi="Calibri"/>
                <w:sz w:val="22"/>
              </w:rPr>
              <w:t>10b5-1 Option Exercise (M code)</w:t>
            </w:r>
          </w:p>
        </w:tc>
        <w:tc>
          <w:tcPr>
            <w:tcW w:type="dxa" w:w="1440"/>
          </w:tcPr>
          <w:p>
            <w:r>
              <w:rPr>
                <w:rFonts w:ascii="Calibri" w:hAnsi="Calibri"/>
                <w:sz w:val="22"/>
              </w:rPr>
              <w:t>9,400 shares</w:t>
            </w:r>
          </w:p>
        </w:tc>
        <w:tc>
          <w:tcPr>
            <w:tcW w:type="dxa" w:w="1440"/>
          </w:tcPr>
          <w:p>
            <w:r>
              <w:rPr>
                <w:rFonts w:ascii="Calibri" w:hAnsi="Calibri"/>
                <w:sz w:val="22"/>
              </w:rPr>
              <w:t>Jun 1, 2026</w:t>
            </w:r>
          </w:p>
        </w:tc>
        <w:tc>
          <w:tcPr>
            <w:tcW w:type="dxa" w:w="1440"/>
          </w:tcPr>
          <w:p>
            <w:r>
              <w:rPr>
                <w:rFonts w:ascii="Calibri" w:hAnsi="Calibri"/>
                <w:sz w:val="22"/>
              </w:rPr>
              <w:t>Second planned exercise under 10b5-1 plan; not discretionary</w:t>
            </w:r>
          </w:p>
        </w:tc>
      </w:tr>
      <w:tr>
        <w:tc>
          <w:tcPr>
            <w:tcW w:type="dxa" w:w="1440"/>
          </w:tcPr>
          <w:p>
            <w:r>
              <w:rPr>
                <w:rFonts w:ascii="Calibri" w:hAnsi="Calibri"/>
                <w:sz w:val="22"/>
              </w:rPr>
              <w:t>Sagar, Malavika</w:t>
            </w:r>
          </w:p>
        </w:tc>
        <w:tc>
          <w:tcPr>
            <w:tcW w:type="dxa" w:w="1440"/>
          </w:tcPr>
          <w:p>
            <w:r>
              <w:rPr>
                <w:rFonts w:ascii="Calibri" w:hAnsi="Calibri"/>
                <w:sz w:val="22"/>
              </w:rPr>
              <w:t>SVP, Chief Human Resources Officer</w:t>
            </w:r>
          </w:p>
        </w:tc>
        <w:tc>
          <w:tcPr>
            <w:tcW w:type="dxa" w:w="1440"/>
          </w:tcPr>
          <w:p>
            <w:r>
              <w:rPr>
                <w:rFonts w:ascii="Calibri" w:hAnsi="Calibri"/>
                <w:sz w:val="22"/>
              </w:rPr>
              <w:t>RSU Grant (A code)</w:t>
            </w:r>
          </w:p>
        </w:tc>
        <w:tc>
          <w:tcPr>
            <w:tcW w:type="dxa" w:w="1440"/>
          </w:tcPr>
          <w:p>
            <w:r>
              <w:rPr>
                <w:rFonts w:ascii="Calibri" w:hAnsi="Calibri"/>
                <w:sz w:val="22"/>
              </w:rPr>
              <w:t>3.87 RSUs</w:t>
            </w:r>
          </w:p>
        </w:tc>
        <w:tc>
          <w:tcPr>
            <w:tcW w:type="dxa" w:w="1440"/>
          </w:tcPr>
          <w:p>
            <w:r>
              <w:rPr>
                <w:rFonts w:ascii="Calibri" w:hAnsi="Calibri"/>
                <w:sz w:val="22"/>
              </w:rPr>
              <w:t>Jun 12, 2026</w:t>
            </w:r>
          </w:p>
        </w:tc>
        <w:tc>
          <w:tcPr>
            <w:tcW w:type="dxa" w:w="1440"/>
          </w:tcPr>
          <w:p>
            <w:r>
              <w:rPr>
                <w:rFonts w:ascii="Calibri" w:hAnsi="Calibri"/>
                <w:sz w:val="22"/>
              </w:rPr>
              <w:t>Routine RSU grant; not a market transaction</w:t>
            </w:r>
          </w:p>
        </w:tc>
      </w:tr>
      <w:tr>
        <w:tc>
          <w:tcPr>
            <w:tcW w:type="dxa" w:w="1440"/>
          </w:tcPr>
          <w:p>
            <w:r>
              <w:rPr>
                <w:rFonts w:ascii="Calibri" w:hAnsi="Calibri"/>
                <w:sz w:val="22"/>
              </w:rPr>
              <w:t>Shaffer, Reuben M.</w:t>
            </w:r>
          </w:p>
        </w:tc>
        <w:tc>
          <w:tcPr>
            <w:tcW w:type="dxa" w:w="1440"/>
          </w:tcPr>
          <w:p>
            <w:r>
              <w:rPr>
                <w:rFonts w:ascii="Calibri" w:hAnsi="Calibri"/>
                <w:sz w:val="22"/>
              </w:rPr>
              <w:t>SVP and Corporate Controller</w:t>
            </w:r>
          </w:p>
        </w:tc>
        <w:tc>
          <w:tcPr>
            <w:tcW w:type="dxa" w:w="1440"/>
          </w:tcPr>
          <w:p>
            <w:r>
              <w:rPr>
                <w:rFonts w:ascii="Calibri" w:hAnsi="Calibri"/>
                <w:sz w:val="22"/>
              </w:rPr>
              <w:t>RSU Grant (A code)</w:t>
            </w:r>
          </w:p>
        </w:tc>
        <w:tc>
          <w:tcPr>
            <w:tcW w:type="dxa" w:w="1440"/>
          </w:tcPr>
          <w:p>
            <w:r>
              <w:rPr>
                <w:rFonts w:ascii="Calibri" w:hAnsi="Calibri"/>
                <w:sz w:val="22"/>
              </w:rPr>
              <w:t>5.26 RSUs</w:t>
            </w:r>
          </w:p>
        </w:tc>
        <w:tc>
          <w:tcPr>
            <w:tcW w:type="dxa" w:w="1440"/>
          </w:tcPr>
          <w:p>
            <w:r>
              <w:rPr>
                <w:rFonts w:ascii="Calibri" w:hAnsi="Calibri"/>
                <w:sz w:val="22"/>
              </w:rPr>
              <w:t>Jun 12, 2026</w:t>
            </w:r>
          </w:p>
        </w:tc>
        <w:tc>
          <w:tcPr>
            <w:tcW w:type="dxa" w:w="1440"/>
          </w:tcPr>
          <w:p>
            <w:r>
              <w:rPr>
                <w:rFonts w:ascii="Calibri" w:hAnsi="Calibri"/>
                <w:sz w:val="22"/>
              </w:rPr>
              <w:t>Routine RSU grant; not a market transaction</w:t>
            </w:r>
          </w:p>
        </w:tc>
      </w:tr>
    </w:tbl>
    <w:p>
      <w:r>
        <w:rPr>
          <w:rFonts w:ascii="Calibri" w:hAnsi="Calibri"/>
          <w:b/>
          <w:color w:val="525866"/>
          <w:sz w:val="22"/>
        </w:rPr>
        <w:t xml:space="preserve">Assessment: </w:t>
      </w:r>
      <w:r>
        <w:rPr>
          <w:rFonts w:ascii="Calibri" w:hAnsi="Calibri"/>
          <w:color w:val="525866"/>
          <w:sz w:val="22"/>
        </w:rPr>
        <w:t>No open-market buys or discretionary sells since Q2 earnings. All transactions are either 10b5-1 plan-driven (Kroeger's option exercises and sales are pre-scheduled and obligation-driven), tax withholding sales (Sagar), or routine RSU grants. The absence of any open-market buying despite the stock's ~5% decline since Q2 earnings is notable but not alarming — insiders may be in a blackout window ahead of Q3 earnings. No unusual clustering or large discretionary transactions that would signal insider concern or conviction. Source: SEC Form 4 /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