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 Connectivity (TEL)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 Connectivity plc</w:t>
            </w:r>
          </w:p>
        </w:tc>
      </w:tr>
      <w:tr>
        <w:tc>
          <w:tcPr>
            <w:tcW w:type="dxa" w:w="4320"/>
          </w:tcPr>
          <w:p>
            <w:r>
              <w:rPr>
                <w:rFonts w:ascii="Calibri" w:hAnsi="Calibri"/>
                <w:b/>
                <w:sz w:val="22"/>
              </w:rPr>
              <w:t>Ticker</w:t>
            </w:r>
          </w:p>
        </w:tc>
        <w:tc>
          <w:tcPr>
            <w:tcW w:type="dxa" w:w="4320"/>
          </w:tcPr>
          <w:p>
            <w:r>
              <w:rPr>
                <w:rFonts w:ascii="Calibri" w:hAnsi="Calibri"/>
                <w:sz w:val="22"/>
              </w:rPr>
              <w:t>TEL (NYSE)</w:t>
            </w:r>
          </w:p>
        </w:tc>
      </w:tr>
      <w:tr>
        <w:tc>
          <w:tcPr>
            <w:tcW w:type="dxa" w:w="4320"/>
          </w:tcPr>
          <w:p>
            <w:r>
              <w:rPr>
                <w:rFonts w:ascii="Calibri" w:hAnsi="Calibri"/>
                <w:b/>
                <w:sz w:val="22"/>
              </w:rPr>
              <w:t>Reporting Period</w:t>
            </w:r>
          </w:p>
        </w:tc>
        <w:tc>
          <w:tcPr>
            <w:tcW w:type="dxa" w:w="4320"/>
          </w:tcPr>
          <w:p>
            <w:r>
              <w:rPr>
                <w:rFonts w:ascii="Calibri" w:hAnsi="Calibri"/>
                <w:sz w:val="22"/>
              </w:rPr>
              <w:t>Q3 FY2026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8:30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 2026 (Q2 FY2026)</w:t>
            </w:r>
          </w:p>
        </w:tc>
      </w:tr>
    </w:tbl>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TEL guided Q3 revenue to $5.0B (+10% YoY) and adj. EPS to ~$2.83 (+17% YoY), both above consensus at the time of guidance, and the single biggest swing factor is whether AI/DDN order momentum translates into another upward revenue revision for the second half.</w:t>
      </w:r>
    </w:p>
    <w:p>
      <w:r>
        <w:rPr>
          <w:rFonts w:ascii="Calibri" w:hAnsi="Calibri"/>
          <w:color w:val="525866"/>
          <w:sz w:val="22"/>
        </w:rPr>
        <w:t xml:space="preserve">Heading into the Q3 FY2026 print, the bar is achievable but not low: management guided to $5.0B in revenue and ~$2.83 in adjusted EPS, representing 10% and 17% year-over-year growth respectively, and consensus has barely moved since the April 22 print (adj. EPS consensus sits at $2.85 vs. guidance of ~$2.83), suggesting the Street is essentially at guidance with minimal cushion built in. </w:t>
      </w:r>
      <w:r>
        <w:rPr>
          <w:rFonts w:ascii="Calibri" w:hAnsi="Calibri"/>
          <w:b/>
          <w:color w:val="525866"/>
          <w:sz w:val="22"/>
        </w:rPr>
        <w:t>Management's posture has been consistently confident</w:t>
      </w:r>
      <w:r>
        <w:rPr>
          <w:rFonts w:ascii="Calibri" w:hAnsi="Calibri"/>
          <w:color w:val="525866"/>
          <w:sz w:val="22"/>
        </w:rPr>
        <w:t xml:space="preserve"> — the CEO noted at the May 28 Bernstein conference that AI revenue momentum for FY2026 had already shifted from a $2.0B expectation six months prior to ~$2.4B, and that order growth in AI was running ahead of the 70% revenue growth rate, with no order cancellations observed. Estimate revisions have been modestly positive since the Q2 print, with adj. EPS for Q3 edging from $2.84 to $2.85, tracking guidance rather than diverging, which limits both upside surprise and downside risk from revision dynamics. </w:t>
      </w:r>
      <w:r>
        <w:rPr>
          <w:rFonts w:ascii="Calibri" w:hAnsi="Calibri"/>
          <w:b/>
          <w:color w:val="525866"/>
          <w:sz w:val="22"/>
        </w:rPr>
        <w:t>The stock has underperformed significantly since the Q2 earnings day</w:t>
      </w:r>
      <w:r>
        <w:rPr>
          <w:rFonts w:ascii="Calibri" w:hAnsi="Calibri"/>
          <w:color w:val="525866"/>
          <w:sz w:val="22"/>
        </w:rPr>
        <w:t xml:space="preserve"> — TEL fell ~9% on April 22 despite beating on both revenue and EPS, and has continued to lag XLI and the S&amp;P 500 through July, trading at ~$209 vs. the pre-earnings close of $243, implying the multiple has compressed materially (NTM P/E now ~16x vs. ~22x six months ago) and the stock is not pricing in a beat. The key wildcard is the magnitude of any further AI revenue guidance raise for the second half: a third consecutive upward revision to the FY2026 DDN/AI outlook — particularly if accompanied by early FY2027 order commentary — could be the catalyst that finally closes the valuation gap to peer Amphenol (~38x NTM P/E).</w:t>
      </w:r>
    </w:p>
    <w:p>
      <w:r>
        <w:rPr>
          <w:rFonts w:ascii="Calibri" w:hAnsi="Calibri"/>
          <w:b/>
          <w:color w:val="525866"/>
          <w:sz w:val="22"/>
        </w:rPr>
        <w:t xml:space="preserve">Bar: </w:t>
      </w:r>
      <w:r>
        <w:rPr>
          <w:rFonts w:ascii="Calibri" w:hAnsi="Calibri"/>
          <w:color w:val="525866"/>
          <w:sz w:val="22"/>
        </w:rPr>
        <w:t>Consensus adj. EPS of $2.85 sits essentially at guidance midpoint (~$2.83); revenue consensus of $5.01B is also at guidance ($5.0B). The bar is not stretched, but there is limited cushion — TEL has beaten adj. EPS consensus in each of the last eight quarters, so the market may expect a modest beat as baseline.</w:t>
      </w:r>
    </w:p>
    <w:p>
      <w:r>
        <w:rPr>
          <w:rFonts w:ascii="Calibri" w:hAnsi="Calibri"/>
          <w:b/>
          <w:color w:val="525866"/>
          <w:sz w:val="22"/>
        </w:rPr>
        <w:t xml:space="preserve">Guidance/Tone: </w:t>
      </w:r>
      <w:r>
        <w:rPr>
          <w:rFonts w:ascii="Calibri" w:hAnsi="Calibri"/>
          <w:color w:val="525866"/>
          <w:sz w:val="22"/>
        </w:rPr>
        <w:t>Management has been increasingly confident. At the May 28 Bernstein conference, the CEO reiterated "full-steam ahead in AI and data center," described automation and commercial transportation as at an "early inflection" and "well below peak," and confirmed no demand negative impacts from geopolitical tensions. The tone is the most constructive it has been in several years.</w:t>
      </w:r>
    </w:p>
    <w:p>
      <w:r>
        <w:rPr>
          <w:rFonts w:ascii="Calibri" w:hAnsi="Calibri"/>
          <w:b/>
          <w:color w:val="525866"/>
          <w:sz w:val="22"/>
        </w:rPr>
        <w:t xml:space="preserve">Estimate Trajectory: </w:t>
      </w:r>
      <w:r>
        <w:rPr>
          <w:rFonts w:ascii="Calibri" w:hAnsi="Calibri"/>
          <w:color w:val="525866"/>
          <w:sz w:val="22"/>
        </w:rPr>
        <w:t>Adj. EPS estimates for Q3 FY2026 have been stable-to-slightly-rising since the April 22 print ($2.84 → $2.85), tracking guidance. FY2026 full-year adj. EPS consensus is $11.24, up modestly from $11.22 at the time of the Q2 print. Revisions are tracking guidance, not diverging — this represents neither a meaningful risk nor a meaningful cushion.</w:t>
      </w:r>
    </w:p>
    <w:p>
      <w:r>
        <w:rPr>
          <w:rFonts w:ascii="Calibri" w:hAnsi="Calibri"/>
          <w:b/>
          <w:color w:val="525866"/>
          <w:sz w:val="22"/>
        </w:rPr>
        <w:t xml:space="preserve">Stock Setup: </w:t>
      </w:r>
      <w:r>
        <w:rPr>
          <w:rFonts w:ascii="Calibri" w:hAnsi="Calibri"/>
          <w:color w:val="525866"/>
          <w:sz w:val="22"/>
        </w:rPr>
        <w:t>TEL has de-rated sharply — NTM EV/EBITDA has compressed from ~14.6x six months ago to ~11.3x today, and NTM P/E from ~22.6x to ~16.4x. The stock is down ~14% since the Q2 print vs. XLI roughly flat and S&amp;P 500 up ~5%. At current levels, the stock is not pricing in a beat; the multiple discount to Amphenol (~17 P/E turns) appears disconnected from fundamentals given similar AI exposure.</w:t>
      </w:r>
    </w:p>
    <w:p>
      <w:r>
        <w:rPr>
          <w:rFonts w:ascii="Calibri" w:hAnsi="Calibri"/>
          <w:b/>
          <w:color w:val="525866"/>
          <w:sz w:val="22"/>
        </w:rPr>
        <w:t xml:space="preserve">Wildcard: </w:t>
      </w:r>
      <w:r>
        <w:rPr>
          <w:rFonts w:ascii="Calibri" w:hAnsi="Calibri"/>
          <w:color w:val="525866"/>
          <w:sz w:val="22"/>
        </w:rPr>
        <w:t>A third consecutive upward revision to the FY2026 AI/DDN revenue outlook (currently ~$2.4B) — particularly if management provides early FY2027 AI order commentary or raises the long-term $3B+ target timeline — would be the most likely positive catalyst. Conversely, any softening in book-to-bill from the record 1.12 in Q2, or margin pressure from oil-based resin/freight inflation exceeding the pricing offset, would be the primary downside risk.</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essentially at guidance on both revenue ($5.01B vs. $5.0B guided) and adj. EPS ($2.85 vs. ~$2.83 guided), making the bar achievable but not low. </w:t>
      </w:r>
      <w:r>
        <w:rPr>
          <w:rFonts w:ascii="Calibri" w:hAnsi="Calibri"/>
          <w:b/>
          <w:color w:val="525866"/>
          <w:sz w:val="22"/>
        </w:rPr>
        <w:t>Book-to-bill is the bigger swing factor</w:t>
      </w:r>
      <w:r>
        <w:rPr>
          <w:rFonts w:ascii="Calibri" w:hAnsi="Calibri"/>
          <w:color w:val="525866"/>
          <w:sz w:val="22"/>
        </w:rPr>
        <w:t xml:space="preserve"> — a reading above 1.0 (vs. consensus ~0.83) would signal continued AI/industrial order momentum and likely drive the stock more than the revenue/EPS line itself.</w:t>
      </w:r>
    </w:p>
    <w:p>
      <w:pPr>
        <w:pStyle w:val="Heading2"/>
      </w:pPr>
      <w:r>
        <w:rPr>
          <w:rFonts w:ascii="Calibri" w:hAnsi="Calibri"/>
          <w:b/>
          <w:color w:val="3B4259"/>
          <w:sz w:val="28"/>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Quarter)</w:t>
            </w:r>
          </w:p>
        </w:tc>
        <w:tc>
          <w:tcPr>
            <w:tcW w:type="dxa" w:w="1234"/>
            <w:shd w:val="clear" w:color="auto" w:fill="3B4259"/>
          </w:tcPr>
          <w:p>
            <w:r>
              <w:rPr>
                <w:rFonts w:ascii="Calibri" w:hAnsi="Calibri"/>
                <w:b/>
                <w:color w:val="FFFFFF"/>
                <w:sz w:val="22"/>
              </w:rPr>
              <w:t>Q3 FY2025 Actual (Prior Year Period)</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Q3 FY2026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$4.744B</w:t>
            </w:r>
          </w:p>
        </w:tc>
        <w:tc>
          <w:tcPr>
            <w:tcW w:type="dxa" w:w="1234"/>
          </w:tcPr>
          <w:p>
            <w:r>
              <w:rPr>
                <w:rFonts w:ascii="Calibri" w:hAnsi="Calibri"/>
                <w:sz w:val="22"/>
              </w:rPr>
              <w:t>$4.534B</w:t>
            </w:r>
          </w:p>
        </w:tc>
        <w:tc>
          <w:tcPr>
            <w:tcW w:type="dxa" w:w="1234"/>
          </w:tcPr>
          <w:p>
            <w:r>
              <w:rPr>
                <w:rFonts w:ascii="Calibri" w:hAnsi="Calibri"/>
                <w:sz w:val="22"/>
              </w:rPr>
              <w:t>$5.015B</w:t>
            </w:r>
          </w:p>
        </w:tc>
        <w:tc>
          <w:tcPr>
            <w:tcW w:type="dxa" w:w="1234"/>
          </w:tcPr>
          <w:p>
            <w:r>
              <w:rPr>
                <w:rFonts w:ascii="Calibri" w:hAnsi="Calibri"/>
                <w:sz w:val="22"/>
              </w:rPr>
              <w:t>+10.6%</w:t>
            </w:r>
          </w:p>
        </w:tc>
        <w:tc>
          <w:tcPr>
            <w:tcW w:type="dxa" w:w="1234"/>
          </w:tcPr>
          <w:p>
            <w:r>
              <w:rPr>
                <w:rFonts w:ascii="Calibri" w:hAnsi="Calibri"/>
                <w:sz w:val="22"/>
              </w:rPr>
              <w:t>$5.0B</w:t>
            </w:r>
          </w:p>
        </w:tc>
        <w:tc>
          <w:tcPr>
            <w:tcW w:type="dxa" w:w="1234"/>
          </w:tcPr>
          <w:p>
            <w:r>
              <w:rPr>
                <w:rFonts w:ascii="Calibri" w:hAnsi="Calibri"/>
                <w:sz w:val="22"/>
              </w:rPr>
              <w:t>+0.3%</w:t>
            </w:r>
          </w:p>
        </w:tc>
      </w:tr>
      <w:tr>
        <w:tc>
          <w:tcPr>
            <w:tcW w:type="dxa" w:w="1234"/>
          </w:tcPr>
          <w:p>
            <w:r>
              <w:rPr>
                <w:rFonts w:ascii="Calibri" w:hAnsi="Calibri"/>
                <w:sz w:val="22"/>
              </w:rPr>
              <w:t>Adj. EPS — Diluted ($)</w:t>
            </w:r>
          </w:p>
        </w:tc>
        <w:tc>
          <w:tcPr>
            <w:tcW w:type="dxa" w:w="1234"/>
          </w:tcPr>
          <w:p>
            <w:r>
              <w:rPr>
                <w:rFonts w:ascii="Calibri" w:hAnsi="Calibri"/>
                <w:sz w:val="22"/>
              </w:rPr>
              <w:t>$2.73</w:t>
            </w:r>
          </w:p>
        </w:tc>
        <w:tc>
          <w:tcPr>
            <w:tcW w:type="dxa" w:w="1234"/>
          </w:tcPr>
          <w:p>
            <w:r>
              <w:rPr>
                <w:rFonts w:ascii="Calibri" w:hAnsi="Calibri"/>
                <w:sz w:val="22"/>
              </w:rPr>
              <w:t>$2.41</w:t>
            </w:r>
          </w:p>
        </w:tc>
        <w:tc>
          <w:tcPr>
            <w:tcW w:type="dxa" w:w="1234"/>
          </w:tcPr>
          <w:p>
            <w:r>
              <w:rPr>
                <w:rFonts w:ascii="Calibri" w:hAnsi="Calibri"/>
                <w:sz w:val="22"/>
              </w:rPr>
              <w:t>$2.85</w:t>
            </w:r>
          </w:p>
        </w:tc>
        <w:tc>
          <w:tcPr>
            <w:tcW w:type="dxa" w:w="1234"/>
          </w:tcPr>
          <w:p>
            <w:r>
              <w:rPr>
                <w:rFonts w:ascii="Calibri" w:hAnsi="Calibri"/>
                <w:sz w:val="22"/>
              </w:rPr>
              <w:t>+18.3%</w:t>
            </w:r>
          </w:p>
        </w:tc>
        <w:tc>
          <w:tcPr>
            <w:tcW w:type="dxa" w:w="1234"/>
          </w:tcPr>
          <w:p>
            <w:r>
              <w:rPr>
                <w:rFonts w:ascii="Calibri" w:hAnsi="Calibri"/>
                <w:sz w:val="22"/>
              </w:rPr>
              <w:t>~$2.83</w:t>
            </w:r>
          </w:p>
        </w:tc>
        <w:tc>
          <w:tcPr>
            <w:tcW w:type="dxa" w:w="1234"/>
          </w:tcPr>
          <w:p>
            <w:r>
              <w:rPr>
                <w:rFonts w:ascii="Calibri" w:hAnsi="Calibri"/>
                <w:sz w:val="22"/>
              </w:rPr>
              <w:t>+0.7%</w:t>
            </w:r>
          </w:p>
        </w:tc>
      </w:tr>
      <w:tr>
        <w:tc>
          <w:tcPr>
            <w:tcW w:type="dxa" w:w="1234"/>
          </w:tcPr>
          <w:p>
            <w:r>
              <w:rPr>
                <w:rFonts w:ascii="Calibri" w:hAnsi="Calibri"/>
                <w:sz w:val="22"/>
              </w:rPr>
              <w:t>Organic Revenue Growth (%)</w:t>
            </w:r>
          </w:p>
        </w:tc>
        <w:tc>
          <w:tcPr>
            <w:tcW w:type="dxa" w:w="1234"/>
          </w:tcPr>
          <w:p>
            <w:r>
              <w:rPr>
                <w:rFonts w:ascii="Calibri" w:hAnsi="Calibri"/>
                <w:sz w:val="22"/>
              </w:rPr>
              <w:t>+7.2%</w:t>
            </w:r>
          </w:p>
        </w:tc>
        <w:tc>
          <w:tcPr>
            <w:tcW w:type="dxa" w:w="1234"/>
          </w:tcPr>
          <w:p>
            <w:r>
              <w:rPr>
                <w:rFonts w:ascii="Calibri" w:hAnsi="Calibri"/>
                <w:sz w:val="22"/>
              </w:rPr>
              <w:t>+9.1%</w:t>
            </w:r>
          </w:p>
        </w:tc>
        <w:tc>
          <w:tcPr>
            <w:tcW w:type="dxa" w:w="1234"/>
          </w:tcPr>
          <w:p>
            <w:r>
              <w:rPr>
                <w:rFonts w:ascii="Calibri" w:hAnsi="Calibri"/>
                <w:sz w:val="22"/>
              </w:rPr>
              <w:t>+8.9%</w:t>
            </w:r>
          </w:p>
        </w:tc>
        <w:tc>
          <w:tcPr>
            <w:tcW w:type="dxa" w:w="1234"/>
          </w:tcPr>
          <w:p>
            <w:r>
              <w:rPr>
                <w:rFonts w:ascii="Calibri" w:hAnsi="Calibri"/>
                <w:sz w:val="22"/>
              </w:rPr>
              <w:t>~flat YoY</w:t>
            </w:r>
          </w:p>
        </w:tc>
        <w:tc>
          <w:tcPr>
            <w:tcW w:type="dxa" w:w="1234"/>
          </w:tcPr>
          <w:p>
            <w:r>
              <w:rPr>
                <w:rFonts w:ascii="Calibri" w:hAnsi="Calibri"/>
                <w:sz w:val="22"/>
              </w:rPr>
              <w:t>~High single digits</w:t>
            </w:r>
          </w:p>
        </w:tc>
        <w:tc>
          <w:tcPr>
            <w:tcW w:type="dxa" w:w="1234"/>
          </w:tcPr>
          <w:p>
            <w:r>
              <w:rPr>
                <w:rFonts w:ascii="Calibri" w:hAnsi="Calibri"/>
                <w:sz w:val="22"/>
              </w:rPr>
              <w:t>~In line</w:t>
            </w:r>
          </w:p>
        </w:tc>
      </w:tr>
      <w:tr>
        <w:tc>
          <w:tcPr>
            <w:tcW w:type="dxa" w:w="1234"/>
          </w:tcPr>
          <w:p>
            <w:r>
              <w:rPr>
                <w:rFonts w:ascii="Calibri" w:hAnsi="Calibri"/>
                <w:sz w:val="22"/>
              </w:rPr>
              <w:t>Adj. Operating Margin (%)</w:t>
            </w:r>
          </w:p>
        </w:tc>
        <w:tc>
          <w:tcPr>
            <w:tcW w:type="dxa" w:w="1234"/>
          </w:tcPr>
          <w:p>
            <w:r>
              <w:rPr>
                <w:rFonts w:ascii="Calibri" w:hAnsi="Calibri"/>
                <w:sz w:val="22"/>
              </w:rPr>
              <w:t>21.7%</w:t>
            </w:r>
          </w:p>
        </w:tc>
        <w:tc>
          <w:tcPr>
            <w:tcW w:type="dxa" w:w="1234"/>
          </w:tcPr>
          <w:p>
            <w:r>
              <w:rPr>
                <w:rFonts w:ascii="Calibri" w:hAnsi="Calibri"/>
                <w:sz w:val="22"/>
              </w:rPr>
              <w:t>21.0%</w:t>
            </w:r>
          </w:p>
        </w:tc>
        <w:tc>
          <w:tcPr>
            <w:tcW w:type="dxa" w:w="1234"/>
          </w:tcPr>
          <w:p>
            <w:r>
              <w:rPr>
                <w:rFonts w:ascii="Calibri" w:hAnsi="Calibri"/>
                <w:sz w:val="22"/>
              </w:rPr>
              <w:t>21.9%</w:t>
            </w:r>
          </w:p>
        </w:tc>
        <w:tc>
          <w:tcPr>
            <w:tcW w:type="dxa" w:w="1234"/>
          </w:tcPr>
          <w:p>
            <w:r>
              <w:rPr>
                <w:rFonts w:ascii="Calibri" w:hAnsi="Calibri"/>
                <w:sz w:val="22"/>
              </w:rPr>
              <w:t>+90 bps</w:t>
            </w:r>
          </w:p>
        </w:tc>
        <w:tc>
          <w:tcPr>
            <w:tcW w:type="dxa" w:w="1234"/>
          </w:tcPr>
          <w:p>
            <w:r>
              <w:rPr>
                <w:rFonts w:ascii="Calibri" w:hAnsi="Calibri"/>
                <w:sz w:val="22"/>
              </w:rPr>
              <w:t>~22%+ (30%+ incrementals)</w:t>
            </w:r>
          </w:p>
        </w:tc>
        <w:tc>
          <w:tcPr>
            <w:tcW w:type="dxa" w:w="1234"/>
          </w:tcPr>
          <w:p>
            <w:r>
              <w:rPr>
                <w:rFonts w:ascii="Calibri" w:hAnsi="Calibri"/>
                <w:sz w:val="22"/>
              </w:rPr>
              <w:t>~In line</w:t>
            </w:r>
          </w:p>
        </w:tc>
      </w:tr>
      <w:tr>
        <w:tc>
          <w:tcPr>
            <w:tcW w:type="dxa" w:w="1234"/>
          </w:tcPr>
          <w:p>
            <w:r>
              <w:rPr>
                <w:rFonts w:ascii="Calibri" w:hAnsi="Calibri"/>
                <w:sz w:val="22"/>
              </w:rPr>
              <w:t>Book-to-Bill (x)</w:t>
            </w:r>
          </w:p>
        </w:tc>
        <w:tc>
          <w:tcPr>
            <w:tcW w:type="dxa" w:w="1234"/>
          </w:tcPr>
          <w:p>
            <w:r>
              <w:rPr>
                <w:rFonts w:ascii="Calibri" w:hAnsi="Calibri"/>
                <w:sz w:val="22"/>
              </w:rPr>
              <w:t>1.12x (record)</w:t>
            </w:r>
          </w:p>
        </w:tc>
        <w:tc>
          <w:tcPr>
            <w:tcW w:type="dxa" w:w="1234"/>
          </w:tcPr>
          <w:p>
            <w:r>
              <w:rPr>
                <w:rFonts w:ascii="Calibri" w:hAnsi="Calibri"/>
                <w:sz w:val="22"/>
              </w:rPr>
              <w:t>0.99x</w:t>
            </w:r>
          </w:p>
        </w:tc>
        <w:tc>
          <w:tcPr>
            <w:tcW w:type="dxa" w:w="1234"/>
          </w:tcPr>
          <w:p>
            <w:r>
              <w:rPr>
                <w:rFonts w:ascii="Calibri" w:hAnsi="Calibri"/>
                <w:sz w:val="22"/>
              </w:rPr>
              <w:t>~0.83x</w:t>
            </w:r>
          </w:p>
        </w:tc>
        <w:tc>
          <w:tcPr>
            <w:tcW w:type="dxa" w:w="1234"/>
          </w:tcPr>
          <w:p>
            <w:r>
              <w:rPr>
                <w:rFonts w:ascii="Calibri" w:hAnsi="Calibri"/>
                <w:sz w:val="22"/>
              </w:rPr>
              <w:t>N/M</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Free Cash Flow — Co. Defined ($M)</w:t>
            </w:r>
          </w:p>
        </w:tc>
        <w:tc>
          <w:tcPr>
            <w:tcW w:type="dxa" w:w="1234"/>
          </w:tcPr>
          <w:p>
            <w:r>
              <w:rPr>
                <w:rFonts w:ascii="Calibri" w:hAnsi="Calibri"/>
                <w:sz w:val="22"/>
              </w:rPr>
              <w:t>$680M</w:t>
            </w:r>
          </w:p>
        </w:tc>
        <w:tc>
          <w:tcPr>
            <w:tcW w:type="dxa" w:w="1234"/>
          </w:tcPr>
          <w:p>
            <w:r>
              <w:rPr>
                <w:rFonts w:ascii="Calibri" w:hAnsi="Calibri"/>
                <w:sz w:val="22"/>
              </w:rPr>
              <w:t>$962M</w:t>
            </w:r>
          </w:p>
        </w:tc>
        <w:tc>
          <w:tcPr>
            <w:tcW w:type="dxa" w:w="1234"/>
          </w:tcPr>
          <w:p>
            <w:r>
              <w:rPr>
                <w:rFonts w:ascii="Calibri" w:hAnsi="Calibri"/>
                <w:sz w:val="22"/>
              </w:rPr>
              <w:t>$833M</w:t>
            </w:r>
          </w:p>
        </w:tc>
        <w:tc>
          <w:tcPr>
            <w:tcW w:type="dxa" w:w="1234"/>
          </w:tcPr>
          <w:p>
            <w:r>
              <w:rPr>
                <w:rFonts w:ascii="Calibri" w:hAnsi="Calibri"/>
                <w:sz w:val="22"/>
              </w:rPr>
              <w:t>-13.4%</w:t>
            </w:r>
          </w:p>
        </w:tc>
        <w:tc>
          <w:tcPr>
            <w:tcW w:type="dxa" w:w="1234"/>
          </w:tcPr>
          <w:p>
            <w:r>
              <w:rPr>
                <w:rFonts w:ascii="Calibri" w:hAnsi="Calibri"/>
                <w:sz w:val="22"/>
              </w:rPr>
              <w:t>~100% conversion (FY)</w:t>
            </w:r>
          </w:p>
        </w:tc>
        <w:tc>
          <w:tcPr>
            <w:tcW w:type="dxa" w:w="1234"/>
          </w:tcPr>
          <w:p>
            <w:r>
              <w:rPr>
                <w:rFonts w:ascii="Calibri" w:hAnsi="Calibri"/>
                <w:sz w:val="22"/>
              </w:rPr>
              <w:t>N/A (FY target)</w:t>
            </w:r>
          </w:p>
        </w:tc>
      </w:tr>
    </w:tbl>
    <w:p>
      <w:r>
        <w:rPr>
          <w:rFonts w:ascii="Calibri" w:hAnsi="Calibri"/>
          <w:i/>
          <w:color w:val="525866"/>
          <w:sz w:val="22"/>
        </w:rPr>
        <w:t>Source: Visible Alpha consensus and actuals data. Net Sales, Organic Growth, Book-to-Bill, Operating Margin, and Free Cash Flow sourced from Visible Alpha. Q3 FY2026 guidance from TEL Q2 FY2026 earnings call (April 22, 2026). Note: Q3 FY2026 actuals not yet reported; consensus estimates as of July 21, 2026. Book-to-bill consensus of ~0.83x reflects VA model estimate; management does not formally guide this metric.</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$4.068B</w:t>
            </w:r>
          </w:p>
        </w:tc>
        <w:tc>
          <w:tcPr>
            <w:tcW w:type="dxa" w:w="1728"/>
          </w:tcPr>
          <w:p>
            <w:r>
              <w:rPr>
                <w:rFonts w:ascii="Calibri" w:hAnsi="Calibri"/>
                <w:sz w:val="22"/>
              </w:rPr>
              <w:t>$4.005B</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$3.836B</w:t>
            </w:r>
          </w:p>
        </w:tc>
        <w:tc>
          <w:tcPr>
            <w:tcW w:type="dxa" w:w="1728"/>
          </w:tcPr>
          <w:p>
            <w:r>
              <w:rPr>
                <w:rFonts w:ascii="Calibri" w:hAnsi="Calibri"/>
                <w:sz w:val="22"/>
              </w:rPr>
              <w:t>$3.937B</w:t>
            </w:r>
          </w:p>
        </w:tc>
        <w:tc>
          <w:tcPr>
            <w:tcW w:type="dxa" w:w="1728"/>
          </w:tcPr>
          <w:p>
            <w:r>
              <w:rPr>
                <w:rFonts w:ascii="Calibri" w:hAnsi="Calibri"/>
                <w:sz w:val="22"/>
              </w:rPr>
              <w:t>-2.6%</w:t>
            </w:r>
          </w:p>
        </w:tc>
        <w:tc>
          <w:tcPr>
            <w:tcW w:type="dxa" w:w="1728"/>
          </w:tcPr>
          <w:p>
            <w:r>
              <w:rPr>
                <w:rFonts w:ascii="Calibri" w:hAnsi="Calibri"/>
                <w:b/>
                <w:color w:val="E5484D"/>
                <w:sz w:val="22"/>
              </w:rPr>
              <w:t>Miss</w:t>
            </w:r>
          </w:p>
        </w:tc>
      </w:tr>
      <w:tr>
        <w:tc>
          <w:tcPr>
            <w:tcW w:type="dxa" w:w="1728"/>
          </w:tcPr>
          <w:p>
            <w:r>
              <w:rPr>
                <w:rFonts w:ascii="Calibri" w:hAnsi="Calibri"/>
                <w:sz w:val="22"/>
              </w:rPr>
              <w:t>Q2 FY2025</w:t>
            </w:r>
          </w:p>
        </w:tc>
        <w:tc>
          <w:tcPr>
            <w:tcW w:type="dxa" w:w="1728"/>
          </w:tcPr>
          <w:p>
            <w:r>
              <w:rPr>
                <w:rFonts w:ascii="Calibri" w:hAnsi="Calibri"/>
                <w:sz w:val="22"/>
              </w:rPr>
              <w:t>$4.143B</w:t>
            </w:r>
          </w:p>
        </w:tc>
        <w:tc>
          <w:tcPr>
            <w:tcW w:type="dxa" w:w="1728"/>
          </w:tcPr>
          <w:p>
            <w:r>
              <w:rPr>
                <w:rFonts w:ascii="Calibri" w:hAnsi="Calibri"/>
                <w:sz w:val="22"/>
              </w:rPr>
              <w:t>$3.956B</w:t>
            </w:r>
          </w:p>
        </w:tc>
        <w:tc>
          <w:tcPr>
            <w:tcW w:type="dxa" w:w="1728"/>
          </w:tcPr>
          <w:p>
            <w:r>
              <w:rPr>
                <w:rFonts w:ascii="Calibri" w:hAnsi="Calibri"/>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$4.534B</w:t>
            </w:r>
          </w:p>
        </w:tc>
        <w:tc>
          <w:tcPr>
            <w:tcW w:type="dxa" w:w="1728"/>
          </w:tcPr>
          <w:p>
            <w:r>
              <w:rPr>
                <w:rFonts w:ascii="Calibri" w:hAnsi="Calibri"/>
                <w:sz w:val="22"/>
              </w:rPr>
              <w:t>$4.317B</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$4.749B</w:t>
            </w:r>
          </w:p>
        </w:tc>
        <w:tc>
          <w:tcPr>
            <w:tcW w:type="dxa" w:w="1728"/>
          </w:tcPr>
          <w:p>
            <w:r>
              <w:rPr>
                <w:rFonts w:ascii="Calibri" w:hAnsi="Calibri"/>
                <w:sz w:val="22"/>
              </w:rPr>
              <w:t>$4.595B</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$4.669B</w:t>
            </w:r>
          </w:p>
        </w:tc>
        <w:tc>
          <w:tcPr>
            <w:tcW w:type="dxa" w:w="1728"/>
          </w:tcPr>
          <w:p>
            <w:r>
              <w:rPr>
                <w:rFonts w:ascii="Calibri" w:hAnsi="Calibri"/>
                <w:sz w:val="22"/>
              </w:rPr>
              <w:t>$4.535B</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$4.744B</w:t>
            </w:r>
          </w:p>
        </w:tc>
        <w:tc>
          <w:tcPr>
            <w:tcW w:type="dxa" w:w="1728"/>
          </w:tcPr>
          <w:p>
            <w:r>
              <w:rPr>
                <w:rFonts w:ascii="Calibri" w:hAnsi="Calibri"/>
                <w:sz w:val="22"/>
              </w:rPr>
              <w:t>$4.758B</w:t>
            </w:r>
          </w:p>
        </w:tc>
        <w:tc>
          <w:tcPr>
            <w:tcW w:type="dxa" w:w="1728"/>
          </w:tcPr>
          <w:p>
            <w:r>
              <w:rPr>
                <w:rFonts w:ascii="Calibri" w:hAnsi="Calibri"/>
                <w:sz w:val="22"/>
              </w:rPr>
              <w:t>-0.3%</w:t>
            </w:r>
          </w:p>
        </w:tc>
        <w:tc>
          <w:tcPr>
            <w:tcW w:type="dxa" w:w="1728"/>
          </w:tcPr>
          <w:p>
            <w:r>
              <w:rPr>
                <w:rFonts w:ascii="Calibri" w:hAnsi="Calibri"/>
                <w:b/>
                <w:color w:val="002FA7"/>
                <w:sz w:val="22"/>
              </w:rPr>
              <w:t>In Line</w:t>
            </w:r>
          </w:p>
        </w:tc>
      </w:tr>
      <w:tr>
        <w:tc>
          <w:tcPr>
            <w:tcW w:type="dxa" w:w="1728"/>
          </w:tcPr>
          <w:p>
            <w:r>
              <w:rPr>
                <w:rFonts w:ascii="Calibri" w:hAnsi="Calibri"/>
                <w:sz w:val="22"/>
              </w:rPr>
              <w:t>Q3 FY2026</w:t>
            </w:r>
          </w:p>
        </w:tc>
        <w:tc>
          <w:tcPr>
            <w:tcW w:type="dxa" w:w="1728"/>
          </w:tcPr>
          <w:p>
            <w:r>
              <w:rPr>
                <w:rFonts w:ascii="Calibri" w:hAnsi="Calibri"/>
                <w:sz w:val="22"/>
              </w:rPr>
              <w:t>TBD</w:t>
            </w:r>
          </w:p>
        </w:tc>
        <w:tc>
          <w:tcPr>
            <w:tcW w:type="dxa" w:w="1728"/>
          </w:tcPr>
          <w:p>
            <w:r>
              <w:rPr>
                <w:rFonts w:ascii="Calibri" w:hAnsi="Calibri"/>
                <w:sz w:val="22"/>
              </w:rPr>
              <w:t>$5.015B</w:t>
            </w:r>
          </w:p>
        </w:tc>
        <w:tc>
          <w:tcPr>
            <w:tcW w:type="dxa" w:w="1728"/>
          </w:tcPr>
          <w:p>
            <w:r>
              <w:rPr>
                <w:rFonts w:ascii="Calibri" w:hAnsi="Calibri"/>
                <w:sz w:val="22"/>
              </w:rPr>
              <w:t>—</w:t>
            </w:r>
          </w:p>
        </w:tc>
        <w:tc>
          <w:tcPr>
            <w:tcW w:type="dxa" w:w="1728"/>
          </w:tcPr>
          <w:p>
            <w:r>
              <w:rPr>
                <w:rFonts w:ascii="Calibri" w:hAnsi="Calibri"/>
                <w:sz w:val="22"/>
              </w:rPr>
              <w:t>Upcoming</w:t>
            </w:r>
          </w:p>
        </w:tc>
      </w:tr>
    </w:tbl>
    <w:p>
      <w:pPr>
        <w:pStyle w:val="Heading3"/>
      </w:pPr>
      <w:r>
        <w:rPr>
          <w:rFonts w:ascii="Calibri" w:hAnsi="Calibri"/>
          <w:b/>
          <w:color w:val="3B4259"/>
          <w:sz w:val="24"/>
        </w:rPr>
        <w:t>Adj.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$2.056</w:t>
            </w:r>
          </w:p>
        </w:tc>
        <w:tc>
          <w:tcPr>
            <w:tcW w:type="dxa" w:w="1728"/>
          </w:tcPr>
          <w:p>
            <w:r>
              <w:rPr>
                <w:rFonts w:ascii="Calibri" w:hAnsi="Calibri"/>
                <w:sz w:val="22"/>
              </w:rPr>
              <w:t>$1.943</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$2.053</w:t>
            </w:r>
          </w:p>
        </w:tc>
        <w:tc>
          <w:tcPr>
            <w:tcW w:type="dxa" w:w="1728"/>
          </w:tcPr>
          <w:p>
            <w:r>
              <w:rPr>
                <w:rFonts w:ascii="Calibri" w:hAnsi="Calibri"/>
                <w:sz w:val="22"/>
              </w:rPr>
              <w:t>$1.902</w:t>
            </w:r>
          </w:p>
        </w:tc>
        <w:tc>
          <w:tcPr>
            <w:tcW w:type="dxa" w:w="1728"/>
          </w:tcPr>
          <w:p>
            <w:r>
              <w:rPr>
                <w:rFonts w:ascii="Calibri" w:hAnsi="Calibri"/>
                <w:sz w:val="22"/>
              </w:rPr>
              <w:t>+8.0%</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$2.213</w:t>
            </w:r>
          </w:p>
        </w:tc>
        <w:tc>
          <w:tcPr>
            <w:tcW w:type="dxa" w:w="1728"/>
          </w:tcPr>
          <w:p>
            <w:r>
              <w:rPr>
                <w:rFonts w:ascii="Calibri" w:hAnsi="Calibri"/>
                <w:sz w:val="22"/>
              </w:rPr>
              <w:t>$1.961</w:t>
            </w:r>
          </w:p>
        </w:tc>
        <w:tc>
          <w:tcPr>
            <w:tcW w:type="dxa" w:w="1728"/>
          </w:tcPr>
          <w:p>
            <w:r>
              <w:rPr>
                <w:rFonts w:ascii="Calibri" w:hAnsi="Calibri"/>
                <w:sz w:val="22"/>
              </w:rPr>
              <w:t>+12.9%</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$2.406</w:t>
            </w:r>
          </w:p>
        </w:tc>
        <w:tc>
          <w:tcPr>
            <w:tcW w:type="dxa" w:w="1728"/>
          </w:tcPr>
          <w:p>
            <w:r>
              <w:rPr>
                <w:rFonts w:ascii="Calibri" w:hAnsi="Calibri"/>
                <w:sz w:val="22"/>
              </w:rPr>
              <w:t>$2.080</w:t>
            </w:r>
          </w:p>
        </w:tc>
        <w:tc>
          <w:tcPr>
            <w:tcW w:type="dxa" w:w="1728"/>
          </w:tcPr>
          <w:p>
            <w:r>
              <w:rPr>
                <w:rFonts w:ascii="Calibri" w:hAnsi="Calibri"/>
                <w:sz w:val="22"/>
              </w:rPr>
              <w:t>+15.7%</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$2.591</w:t>
            </w:r>
          </w:p>
        </w:tc>
        <w:tc>
          <w:tcPr>
            <w:tcW w:type="dxa" w:w="1728"/>
          </w:tcPr>
          <w:p>
            <w:r>
              <w:rPr>
                <w:rFonts w:ascii="Calibri" w:hAnsi="Calibri"/>
                <w:sz w:val="22"/>
              </w:rPr>
              <w:t>$2.299</w:t>
            </w:r>
          </w:p>
        </w:tc>
        <w:tc>
          <w:tcPr>
            <w:tcW w:type="dxa" w:w="1728"/>
          </w:tcPr>
          <w:p>
            <w:r>
              <w:rPr>
                <w:rFonts w:ascii="Calibri" w:hAnsi="Calibri"/>
                <w:sz w:val="22"/>
              </w:rPr>
              <w:t>+12.7%</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$2.721</w:t>
            </w:r>
          </w:p>
        </w:tc>
        <w:tc>
          <w:tcPr>
            <w:tcW w:type="dxa" w:w="1728"/>
          </w:tcPr>
          <w:p>
            <w:r>
              <w:rPr>
                <w:rFonts w:ascii="Calibri" w:hAnsi="Calibri"/>
                <w:sz w:val="22"/>
              </w:rPr>
              <w:t>$2.547</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$2.725</w:t>
            </w:r>
          </w:p>
        </w:tc>
        <w:tc>
          <w:tcPr>
            <w:tcW w:type="dxa" w:w="1728"/>
          </w:tcPr>
          <w:p>
            <w:r>
              <w:rPr>
                <w:rFonts w:ascii="Calibri" w:hAnsi="Calibri"/>
                <w:sz w:val="22"/>
              </w:rPr>
              <w:t>$2.703</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FY2026</w:t>
            </w:r>
          </w:p>
        </w:tc>
        <w:tc>
          <w:tcPr>
            <w:tcW w:type="dxa" w:w="1728"/>
          </w:tcPr>
          <w:p>
            <w:r>
              <w:rPr>
                <w:rFonts w:ascii="Calibri" w:hAnsi="Calibri"/>
                <w:sz w:val="22"/>
              </w:rPr>
              <w:t>TBD</w:t>
            </w:r>
          </w:p>
        </w:tc>
        <w:tc>
          <w:tcPr>
            <w:tcW w:type="dxa" w:w="1728"/>
          </w:tcPr>
          <w:p>
            <w:r>
              <w:rPr>
                <w:rFonts w:ascii="Calibri" w:hAnsi="Calibri"/>
                <w:sz w:val="22"/>
              </w:rPr>
              <w:t>$2.85</w:t>
            </w:r>
          </w:p>
        </w:tc>
        <w:tc>
          <w:tcPr>
            <w:tcW w:type="dxa" w:w="1728"/>
          </w:tcPr>
          <w:p>
            <w:r>
              <w:rPr>
                <w:rFonts w:ascii="Calibri" w:hAnsi="Calibri"/>
                <w:sz w:val="22"/>
              </w:rPr>
              <w:t>—</w:t>
            </w:r>
          </w:p>
        </w:tc>
        <w:tc>
          <w:tcPr>
            <w:tcW w:type="dxa" w:w="1728"/>
          </w:tcPr>
          <w:p>
            <w:r>
              <w:rPr>
                <w:rFonts w:ascii="Calibri" w:hAnsi="Calibri"/>
                <w:sz w:val="22"/>
              </w:rPr>
              <w:t>Upcoming</w:t>
            </w:r>
          </w:p>
        </w:tc>
      </w:tr>
    </w:tbl>
    <w:p>
      <w:r>
        <w:rPr>
          <w:rFonts w:ascii="Calibri" w:hAnsi="Calibri"/>
          <w:i/>
          <w:color w:val="525866"/>
          <w:sz w:val="22"/>
        </w:rPr>
        <w:t xml:space="preserve">Source: Visible Alpha consensus and actuals data. </w:t>
      </w:r>
      <w:r>
        <w:rPr>
          <w:rFonts w:ascii="Calibri" w:hAnsi="Calibri"/>
          <w:i/>
          <w:color w:val="525866"/>
          <w:sz w:val="22"/>
        </w:rPr>
        <w:t>Pattern: TEL has beaten adj. EPS consensus in all 7 of the last 7 reported quarters, with beats ranging from +0.8% to +15.7%; the beat magnitude has compressed as consensus has caught up to management's guidance cadence, but the directional track record is consistent. Revenue beats have been 6 of 7 quarters, with the one miss (Q1 FY2025) driven by a soft automotive/industrial environment.</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22 Q2 earnings call, but management's tone at the May 28 Bernstein conference was materially more constructive — the CEO described AI revenue momentum as having already shifted the FY2026 outlook from $2.0B to ~$2.4B and characterized automation and commercial transportation as at an "early inflection" well below prior peak levels, implying meaningful runway ahead.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Net Sales</w:t>
            </w:r>
          </w:p>
        </w:tc>
        <w:tc>
          <w:tcPr>
            <w:tcW w:type="dxa" w:w="1728"/>
          </w:tcPr>
          <w:p>
            <w:r>
              <w:rPr>
                <w:rFonts w:ascii="Calibri" w:hAnsi="Calibri"/>
                <w:sz w:val="22"/>
              </w:rPr>
              <w:t>$5.0B (+10% YoY)</w:t>
            </w:r>
          </w:p>
        </w:tc>
        <w:tc>
          <w:tcPr>
            <w:tcW w:type="dxa" w:w="1728"/>
          </w:tcPr>
          <w:p>
            <w:r>
              <w:rPr>
                <w:rFonts w:ascii="Calibri" w:hAnsi="Calibri"/>
                <w:sz w:val="22"/>
              </w:rPr>
              <w:t>—</w:t>
            </w:r>
          </w:p>
        </w:tc>
        <w:tc>
          <w:tcPr>
            <w:tcW w:type="dxa" w:w="1728"/>
          </w:tcPr>
          <w:p>
            <w:r>
              <w:rPr>
                <w:rFonts w:ascii="Calibri" w:hAnsi="Calibri"/>
                <w:sz w:val="22"/>
              </w:rPr>
              <w:t>$5.015B</w:t>
            </w:r>
          </w:p>
        </w:tc>
        <w:tc>
          <w:tcPr>
            <w:tcW w:type="dxa" w:w="1728"/>
          </w:tcPr>
          <w:p>
            <w:r>
              <w:rPr>
                <w:rFonts w:ascii="Calibri" w:hAnsi="Calibri"/>
                <w:sz w:val="22"/>
              </w:rPr>
              <w:t>Unchanged since Q2 print; consensus essentially at guidance</w:t>
            </w:r>
          </w:p>
        </w:tc>
      </w:tr>
      <w:tr>
        <w:tc>
          <w:tcPr>
            <w:tcW w:type="dxa" w:w="1728"/>
          </w:tcPr>
          <w:p>
            <w:r>
              <w:rPr>
                <w:rFonts w:ascii="Calibri" w:hAnsi="Calibri"/>
                <w:sz w:val="22"/>
              </w:rPr>
              <w:t>Q3 FY2026 Adj. EPS</w:t>
            </w:r>
          </w:p>
        </w:tc>
        <w:tc>
          <w:tcPr>
            <w:tcW w:type="dxa" w:w="1728"/>
          </w:tcPr>
          <w:p>
            <w:r>
              <w:rPr>
                <w:rFonts w:ascii="Calibri" w:hAnsi="Calibri"/>
                <w:sz w:val="22"/>
              </w:rPr>
              <w:t>~$2.83 (+17% YoY)</w:t>
            </w:r>
          </w:p>
        </w:tc>
        <w:tc>
          <w:tcPr>
            <w:tcW w:type="dxa" w:w="1728"/>
          </w:tcPr>
          <w:p>
            <w:r>
              <w:rPr>
                <w:rFonts w:ascii="Calibri" w:hAnsi="Calibri"/>
                <w:sz w:val="22"/>
              </w:rPr>
              <w:t>—</w:t>
            </w:r>
          </w:p>
        </w:tc>
        <w:tc>
          <w:tcPr>
            <w:tcW w:type="dxa" w:w="1728"/>
          </w:tcPr>
          <w:p>
            <w:r>
              <w:rPr>
                <w:rFonts w:ascii="Calibri" w:hAnsi="Calibri"/>
                <w:sz w:val="22"/>
              </w:rPr>
              <w:t>$2.85</w:t>
            </w:r>
          </w:p>
        </w:tc>
        <w:tc>
          <w:tcPr>
            <w:tcW w:type="dxa" w:w="1728"/>
          </w:tcPr>
          <w:p>
            <w:r>
              <w:rPr>
                <w:rFonts w:ascii="Calibri" w:hAnsi="Calibri"/>
                <w:sz w:val="22"/>
              </w:rPr>
              <w:t>Unchanged; consensus +$0.02 above guidance midpoint</w:t>
            </w:r>
          </w:p>
        </w:tc>
      </w:tr>
      <w:tr>
        <w:tc>
          <w:tcPr>
            <w:tcW w:type="dxa" w:w="1728"/>
          </w:tcPr>
          <w:p>
            <w:r>
              <w:rPr>
                <w:rFonts w:ascii="Calibri" w:hAnsi="Calibri"/>
                <w:sz w:val="22"/>
              </w:rPr>
              <w:t>FY2026 AI/DDN Revenue</w:t>
            </w:r>
          </w:p>
        </w:tc>
        <w:tc>
          <w:tcPr>
            <w:tcW w:type="dxa" w:w="1728"/>
          </w:tcPr>
          <w:p>
            <w:r>
              <w:rPr>
                <w:rFonts w:ascii="Calibri" w:hAnsi="Calibri"/>
                <w:sz w:val="22"/>
              </w:rPr>
              <w:t>~$2.4B (raised $150M vs. 90 days prior; entirely in 2H)</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CEO confirmed at May 28 Bernstein conference that momentum had shifted from $2.0B to ~$2.4B; no formal post-earnings revision but tone reinforced</w:t>
            </w:r>
          </w:p>
        </w:tc>
      </w:tr>
      <w:tr>
        <w:tc>
          <w:tcPr>
            <w:tcW w:type="dxa" w:w="1728"/>
          </w:tcPr>
          <w:p>
            <w:r>
              <w:rPr>
                <w:rFonts w:ascii="Calibri" w:hAnsi="Calibri"/>
                <w:sz w:val="22"/>
              </w:rPr>
              <w:t>FY2026 Full-Year Revenue Growth</w:t>
            </w:r>
          </w:p>
        </w:tc>
        <w:tc>
          <w:tcPr>
            <w:tcW w:type="dxa" w:w="1728"/>
          </w:tcPr>
          <w:p>
            <w:r>
              <w:rPr>
                <w:rFonts w:ascii="Calibri" w:hAnsi="Calibri"/>
                <w:sz w:val="22"/>
              </w:rPr>
              <w:t>Well over $2B of growth; majority of businesses growing double digits YoY</w:t>
            </w:r>
          </w:p>
        </w:tc>
        <w:tc>
          <w:tcPr>
            <w:tcW w:type="dxa" w:w="1728"/>
          </w:tcPr>
          <w:p>
            <w:r>
              <w:rPr>
                <w:rFonts w:ascii="Calibri" w:hAnsi="Calibri"/>
                <w:sz w:val="22"/>
              </w:rPr>
              <w:t>—</w:t>
            </w:r>
          </w:p>
        </w:tc>
        <w:tc>
          <w:tcPr>
            <w:tcW w:type="dxa" w:w="1728"/>
          </w:tcPr>
          <w:p>
            <w:r>
              <w:rPr>
                <w:rFonts w:ascii="Calibri" w:hAnsi="Calibri"/>
                <w:sz w:val="22"/>
              </w:rPr>
              <w:t>$19.61B (FY2026 consensus)</w:t>
            </w:r>
          </w:p>
        </w:tc>
        <w:tc>
          <w:tcPr>
            <w:tcW w:type="dxa" w:w="1728"/>
          </w:tcPr>
          <w:p>
            <w:r>
              <w:rPr>
                <w:rFonts w:ascii="Calibri" w:hAnsi="Calibri"/>
                <w:sz w:val="22"/>
              </w:rPr>
              <w:t>Unchanged; management reiterated at Bernstein conference</w:t>
            </w:r>
          </w:p>
        </w:tc>
      </w:tr>
      <w:tr>
        <w:tc>
          <w:tcPr>
            <w:tcW w:type="dxa" w:w="1728"/>
          </w:tcPr>
          <w:p>
            <w:r>
              <w:rPr>
                <w:rFonts w:ascii="Calibri" w:hAnsi="Calibri"/>
                <w:sz w:val="22"/>
              </w:rPr>
              <w:t>FY2026 Adj. Operating Margin</w:t>
            </w:r>
          </w:p>
        </w:tc>
        <w:tc>
          <w:tcPr>
            <w:tcW w:type="dxa" w:w="1728"/>
          </w:tcPr>
          <w:p>
            <w:r>
              <w:rPr>
                <w:rFonts w:ascii="Calibri" w:hAnsi="Calibri"/>
                <w:sz w:val="22"/>
              </w:rPr>
              <w:t>~22%; 30%+ incremental margins</w:t>
            </w:r>
          </w:p>
        </w:tc>
        <w:tc>
          <w:tcPr>
            <w:tcW w:type="dxa" w:w="1728"/>
          </w:tcPr>
          <w:p>
            <w:r>
              <w:rPr>
                <w:rFonts w:ascii="Calibri" w:hAnsi="Calibri"/>
                <w:sz w:val="22"/>
              </w:rPr>
              <w:t>—</w:t>
            </w:r>
          </w:p>
        </w:tc>
        <w:tc>
          <w:tcPr>
            <w:tcW w:type="dxa" w:w="1728"/>
          </w:tcPr>
          <w:p>
            <w:r>
              <w:rPr>
                <w:rFonts w:ascii="Calibri" w:hAnsi="Calibri"/>
                <w:sz w:val="22"/>
              </w:rPr>
              <w:t>21.9%</w:t>
            </w:r>
          </w:p>
        </w:tc>
        <w:tc>
          <w:tcPr>
            <w:tcW w:type="dxa" w:w="1728"/>
          </w:tcPr>
          <w:p>
            <w:r>
              <w:rPr>
                <w:rFonts w:ascii="Calibri" w:hAnsi="Calibri"/>
                <w:sz w:val="22"/>
              </w:rPr>
              <w:t>Unchanged; inflation (resins, freight) flagged as headwind but offset by pricing/productivity</w:t>
            </w:r>
          </w:p>
        </w:tc>
      </w:tr>
      <w:tr>
        <w:tc>
          <w:tcPr>
            <w:tcW w:type="dxa" w:w="1728"/>
          </w:tcPr>
          <w:p>
            <w:r>
              <w:rPr>
                <w:rFonts w:ascii="Calibri" w:hAnsi="Calibri"/>
                <w:sz w:val="22"/>
              </w:rPr>
              <w:t>FY2026 CapEx</w:t>
            </w:r>
          </w:p>
        </w:tc>
        <w:tc>
          <w:tcPr>
            <w:tcW w:type="dxa" w:w="1728"/>
          </w:tcPr>
          <w:p>
            <w:r>
              <w:rPr>
                <w:rFonts w:ascii="Calibri" w:hAnsi="Calibri"/>
                <w:sz w:val="22"/>
              </w:rPr>
              <w:t>~6% of revenue (up from ~5%+); driven by AI/DDN ramp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at Bernstein conference; investment concentrated in DDN capacity</w:t>
            </w:r>
          </w:p>
        </w:tc>
      </w:tr>
      <w:tr>
        <w:tc>
          <w:tcPr>
            <w:tcW w:type="dxa" w:w="1728"/>
          </w:tcPr>
          <w:p>
            <w:r>
              <w:rPr>
                <w:rFonts w:ascii="Calibri" w:hAnsi="Calibri"/>
                <w:sz w:val="22"/>
              </w:rPr>
              <w:t>FY2026 FCF Conversion</w:t>
            </w:r>
          </w:p>
        </w:tc>
        <w:tc>
          <w:tcPr>
            <w:tcW w:type="dxa" w:w="1728"/>
          </w:tcPr>
          <w:p>
            <w:r>
              <w:rPr>
                <w:rFonts w:ascii="Calibri" w:hAnsi="Calibri"/>
                <w:sz w:val="22"/>
              </w:rPr>
              <w:t>~100%</w:t>
            </w:r>
          </w:p>
        </w:tc>
        <w:tc>
          <w:tcPr>
            <w:tcW w:type="dxa" w:w="1728"/>
          </w:tcPr>
          <w:p>
            <w:r>
              <w:rPr>
                <w:rFonts w:ascii="Calibri" w:hAnsi="Calibri"/>
                <w:sz w:val="22"/>
              </w:rPr>
              <w:t>—</w:t>
            </w:r>
          </w:p>
        </w:tc>
        <w:tc>
          <w:tcPr>
            <w:tcW w:type="dxa" w:w="1728"/>
          </w:tcPr>
          <w:p>
            <w:r>
              <w:rPr>
                <w:rFonts w:ascii="Calibri" w:hAnsi="Calibri"/>
                <w:sz w:val="22"/>
              </w:rPr>
              <w:t>$3.17B (FY2026 consensus)</w:t>
            </w:r>
          </w:p>
        </w:tc>
        <w:tc>
          <w:tcPr>
            <w:tcW w:type="dxa" w:w="1728"/>
          </w:tcPr>
          <w:p>
            <w:r>
              <w:rPr>
                <w:rFonts w:ascii="Calibri" w:hAnsi="Calibri"/>
                <w:sz w:val="22"/>
              </w:rPr>
              <w:t>Unchanged; H1 FCF was a record $1.3B</w:t>
            </w:r>
          </w:p>
        </w:tc>
      </w:tr>
      <w:tr>
        <w:tc>
          <w:tcPr>
            <w:tcW w:type="dxa" w:w="1728"/>
          </w:tcPr>
          <w:p>
            <w:r>
              <w:rPr>
                <w:rFonts w:ascii="Calibri" w:hAnsi="Calibri"/>
                <w:sz w:val="22"/>
              </w:rPr>
              <w:t>Quarterly Dividend</w:t>
            </w:r>
          </w:p>
        </w:tc>
        <w:tc>
          <w:tcPr>
            <w:tcW w:type="dxa" w:w="1728"/>
          </w:tcPr>
          <w:p>
            <w:r>
              <w:rPr>
                <w:rFonts w:ascii="Calibri" w:hAnsi="Calibri"/>
                <w:sz w:val="22"/>
              </w:rPr>
              <w:t>+10% increase announced at Q2 earnings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Q2 earnings Apr 22; new buyback authorization also announced</w:t>
            </w:r>
          </w:p>
        </w:tc>
      </w:tr>
    </w:tbl>
    <w:p>
      <w:r>
        <w:rPr>
          <w:rFonts w:ascii="Calibri" w:hAnsi="Calibri"/>
          <w:i/>
          <w:color w:val="525866"/>
          <w:sz w:val="22"/>
        </w:rPr>
        <w:t>Source: TEL Q2 FY2026 Earnings Call transcript (April 22, 2026); TEL Bernstein Strategic Decisions Conference transcript (May 28,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stable-to-modestly-rising since the April 22 print, tracking guidance rather than diverging. </w:t>
      </w:r>
      <w:r>
        <w:rPr>
          <w:rFonts w:ascii="Calibri" w:hAnsi="Calibri"/>
          <w:b/>
          <w:color w:val="525866"/>
          <w:sz w:val="22"/>
        </w:rPr>
        <w:t>The lack of meaningful upward revision despite strong order momentum suggests the Street is waiting for confirmation at the Q3 print before embedding further AI upside</w:t>
      </w:r>
      <w:r>
        <w:rPr>
          <w:rFonts w:ascii="Calibri" w:hAnsi="Calibri"/>
          <w:color w:val="525866"/>
          <w:sz w:val="22"/>
        </w:rPr>
        <w:t xml:space="preserve"> — this creates an asymmetric setup where a guidance raise could drive outsized estimate revision.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(Post-Q2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Q3 FY2026</w:t>
            </w:r>
          </w:p>
        </w:tc>
        <w:tc>
          <w:tcPr>
            <w:tcW w:type="dxa" w:w="1080"/>
          </w:tcPr>
          <w:p>
            <w:r>
              <w:rPr>
                <w:rFonts w:ascii="Calibri" w:hAnsi="Calibri"/>
                <w:sz w:val="22"/>
              </w:rPr>
              <w:t>$5.011B</w:t>
            </w:r>
          </w:p>
        </w:tc>
        <w:tc>
          <w:tcPr>
            <w:tcW w:type="dxa" w:w="1080"/>
          </w:tcPr>
          <w:p>
            <w:r>
              <w:rPr>
                <w:rFonts w:ascii="Calibri" w:hAnsi="Calibri"/>
                <w:sz w:val="22"/>
              </w:rPr>
              <w:t>$5.015B</w:t>
            </w:r>
          </w:p>
        </w:tc>
        <w:tc>
          <w:tcPr>
            <w:tcW w:type="dxa" w:w="1080"/>
          </w:tcPr>
          <w:p>
            <w:r>
              <w:rPr>
                <w:rFonts w:ascii="Calibri" w:hAnsi="Calibri"/>
                <w:sz w:val="22"/>
              </w:rPr>
              <w:t>+0.1%</w:t>
            </w:r>
          </w:p>
        </w:tc>
        <w:tc>
          <w:tcPr>
            <w:tcW w:type="dxa" w:w="1080"/>
          </w:tcPr>
          <w:p>
            <w:r>
              <w:rPr>
                <w:rFonts w:ascii="Calibri" w:hAnsi="Calibri"/>
                <w:sz w:val="22"/>
              </w:rPr>
              <w:t>$5.0B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Adj. EPS — Q3 FY2026</w:t>
            </w:r>
          </w:p>
        </w:tc>
        <w:tc>
          <w:tcPr>
            <w:tcW w:type="dxa" w:w="1080"/>
          </w:tcPr>
          <w:p>
            <w:r>
              <w:rPr>
                <w:rFonts w:ascii="Calibri" w:hAnsi="Calibri"/>
                <w:sz w:val="22"/>
              </w:rPr>
              <w:t>$2.841</w:t>
            </w:r>
          </w:p>
        </w:tc>
        <w:tc>
          <w:tcPr>
            <w:tcW w:type="dxa" w:w="1080"/>
          </w:tcPr>
          <w:p>
            <w:r>
              <w:rPr>
                <w:rFonts w:ascii="Calibri" w:hAnsi="Calibri"/>
                <w:sz w:val="22"/>
              </w:rPr>
              <w:t>$2.849</w:t>
            </w:r>
          </w:p>
        </w:tc>
        <w:tc>
          <w:tcPr>
            <w:tcW w:type="dxa" w:w="1080"/>
          </w:tcPr>
          <w:p>
            <w:r>
              <w:rPr>
                <w:rFonts w:ascii="Calibri" w:hAnsi="Calibri"/>
                <w:sz w:val="22"/>
              </w:rPr>
              <w:t>+0.3%</w:t>
            </w:r>
          </w:p>
        </w:tc>
        <w:tc>
          <w:tcPr>
            <w:tcW w:type="dxa" w:w="1080"/>
          </w:tcPr>
          <w:p>
            <w:r>
              <w:rPr>
                <w:rFonts w:ascii="Calibri" w:hAnsi="Calibri"/>
                <w:sz w:val="22"/>
              </w:rPr>
              <w:t>~$2.83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w:t>
            </w:r>
          </w:p>
        </w:tc>
      </w:tr>
      <w:tr>
        <w:tc>
          <w:tcPr>
            <w:tcW w:type="dxa" w:w="1080"/>
          </w:tcPr>
          <w:p>
            <w:r>
              <w:rPr>
                <w:rFonts w:ascii="Calibri" w:hAnsi="Calibri"/>
                <w:sz w:val="22"/>
              </w:rPr>
              <w:t>Organic Growth — Q3 FY2026</w:t>
            </w:r>
          </w:p>
        </w:tc>
        <w:tc>
          <w:tcPr>
            <w:tcW w:type="dxa" w:w="1080"/>
          </w:tcPr>
          <w:p>
            <w:r>
              <w:rPr>
                <w:rFonts w:ascii="Calibri" w:hAnsi="Calibri"/>
                <w:sz w:val="22"/>
              </w:rPr>
              <w:t>~9.0%</w:t>
            </w:r>
          </w:p>
        </w:tc>
        <w:tc>
          <w:tcPr>
            <w:tcW w:type="dxa" w:w="1080"/>
          </w:tcPr>
          <w:p>
            <w:r>
              <w:rPr>
                <w:rFonts w:ascii="Calibri" w:hAnsi="Calibri"/>
                <w:sz w:val="22"/>
              </w:rPr>
              <w:t>8.9%</w:t>
            </w:r>
          </w:p>
        </w:tc>
        <w:tc>
          <w:tcPr>
            <w:tcW w:type="dxa" w:w="1080"/>
          </w:tcPr>
          <w:p>
            <w:r>
              <w:rPr>
                <w:rFonts w:ascii="Calibri" w:hAnsi="Calibri"/>
                <w:sz w:val="22"/>
              </w:rPr>
              <w:t>-0.1 pp</w:t>
            </w:r>
          </w:p>
        </w:tc>
        <w:tc>
          <w:tcPr>
            <w:tcW w:type="dxa" w:w="1080"/>
          </w:tcPr>
          <w:p>
            <w:r>
              <w:rPr>
                <w:rFonts w:ascii="Calibri" w:hAnsi="Calibri"/>
                <w:sz w:val="22"/>
              </w:rPr>
              <w:t>High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Op. Margin — Q3 FY2026</w:t>
            </w:r>
          </w:p>
        </w:tc>
        <w:tc>
          <w:tcPr>
            <w:tcW w:type="dxa" w:w="1080"/>
          </w:tcPr>
          <w:p>
            <w:r>
              <w:rPr>
                <w:rFonts w:ascii="Calibri" w:hAnsi="Calibri"/>
                <w:sz w:val="22"/>
              </w:rPr>
              <w:t>21.9%</w:t>
            </w:r>
          </w:p>
        </w:tc>
        <w:tc>
          <w:tcPr>
            <w:tcW w:type="dxa" w:w="1080"/>
          </w:tcPr>
          <w:p>
            <w:r>
              <w:rPr>
                <w:rFonts w:ascii="Calibri" w:hAnsi="Calibri"/>
                <w:sz w:val="22"/>
              </w:rPr>
              <w:t>21.9%</w:t>
            </w:r>
          </w:p>
        </w:tc>
        <w:tc>
          <w:tcPr>
            <w:tcW w:type="dxa" w:w="1080"/>
          </w:tcPr>
          <w:p>
            <w:r>
              <w:rPr>
                <w:rFonts w:ascii="Calibri" w:hAnsi="Calibri"/>
                <w:sz w:val="22"/>
              </w:rPr>
              <w:t>Flat</w:t>
            </w:r>
          </w:p>
        </w:tc>
        <w:tc>
          <w:tcPr>
            <w:tcW w:type="dxa" w:w="1080"/>
          </w:tcPr>
          <w:p>
            <w:r>
              <w:rPr>
                <w:rFonts w:ascii="Calibri" w:hAnsi="Calibri"/>
                <w:sz w:val="22"/>
              </w:rPr>
              <w:t>~22%+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Sales — FY2026</w:t>
            </w:r>
          </w:p>
        </w:tc>
        <w:tc>
          <w:tcPr>
            <w:tcW w:type="dxa" w:w="1080"/>
          </w:tcPr>
          <w:p>
            <w:r>
              <w:rPr>
                <w:rFonts w:ascii="Calibri" w:hAnsi="Calibri"/>
                <w:sz w:val="22"/>
              </w:rPr>
              <w:t>$19.596B</w:t>
            </w:r>
          </w:p>
        </w:tc>
        <w:tc>
          <w:tcPr>
            <w:tcW w:type="dxa" w:w="1080"/>
          </w:tcPr>
          <w:p>
            <w:r>
              <w:rPr>
                <w:rFonts w:ascii="Calibri" w:hAnsi="Calibri"/>
                <w:sz w:val="22"/>
              </w:rPr>
              <w:t>$19.609B</w:t>
            </w:r>
          </w:p>
        </w:tc>
        <w:tc>
          <w:tcPr>
            <w:tcW w:type="dxa" w:w="1080"/>
          </w:tcPr>
          <w:p>
            <w:r>
              <w:rPr>
                <w:rFonts w:ascii="Calibri" w:hAnsi="Calibri"/>
                <w:sz w:val="22"/>
              </w:rPr>
              <w:t>+0.1%</w:t>
            </w:r>
          </w:p>
        </w:tc>
        <w:tc>
          <w:tcPr>
            <w:tcW w:type="dxa" w:w="1080"/>
          </w:tcPr>
          <w:p>
            <w:r>
              <w:rPr>
                <w:rFonts w:ascii="Calibri" w:hAnsi="Calibri"/>
                <w:sz w:val="22"/>
              </w:rPr>
              <w:t>Well over $2B growth (vs. FY2025)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$11.220</w:t>
            </w:r>
          </w:p>
        </w:tc>
        <w:tc>
          <w:tcPr>
            <w:tcW w:type="dxa" w:w="1080"/>
          </w:tcPr>
          <w:p>
            <w:r>
              <w:rPr>
                <w:rFonts w:ascii="Calibri" w:hAnsi="Calibri"/>
                <w:sz w:val="22"/>
              </w:rPr>
              <w:t>$11.243</w:t>
            </w:r>
          </w:p>
        </w:tc>
        <w:tc>
          <w:tcPr>
            <w:tcW w:type="dxa" w:w="1080"/>
          </w:tcPr>
          <w:p>
            <w:r>
              <w:rPr>
                <w:rFonts w:ascii="Calibri" w:hAnsi="Calibri"/>
                <w:sz w:val="22"/>
              </w:rPr>
              <w:t>+0.2%</w:t>
            </w:r>
          </w:p>
        </w:tc>
        <w:tc>
          <w:tcPr>
            <w:tcW w:type="dxa" w:w="1080"/>
          </w:tcPr>
          <w:p>
            <w:r>
              <w:rPr>
                <w:rFonts w:ascii="Calibri" w:hAnsi="Calibri"/>
                <w:sz w:val="22"/>
              </w:rPr>
              <w:t>Double-digit growth (10%+)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i/>
          <w:color w:val="525866"/>
          <w:sz w:val="22"/>
        </w:rPr>
        <w:t>Source: Visible Alpha consensus and actuals data. Post-Q2 baseline uses consensus as of approximately April 29, 2026 (5 trading days post-print). Current consensus as of July 21, 2026. Guidance from TEL Q2 FY2026 Earnings Call (April 22, 2026).</w:t>
      </w:r>
    </w:p>
    <w:p>
      <w:r>
        <w:rPr>
          <w:rFonts w:ascii="Calibri" w:hAnsi="Calibri"/>
          <w:color w:val="525866"/>
          <w:sz w:val="22"/>
        </w:rPr>
        <w:t>The near-zero estimate revision since the Q2 print is notable given the strong order momentum (record $5.3B orders, 1.12x book-to-bill) and the CEO's constructive commentary at the May 28 Bernstein conference. The Street appears to be treating guidance as the ceiling rather than the floor, which historically has been the wrong posture for TEL — the company has beaten adj. EPS consensus in 7 of the last 7 quarters. A Q3 beat plus any upward revision to the FY2026 AI revenue outlook could drive a meaningful estimate revision cycle.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TEL's underperformance since the Q2 print is entirely multiple-driven — NTM EV/EBITDA has compressed from ~14.6x to ~11.3x (a ~23% de-rating) while estimates have been stable, meaning the stock has de-rated despite improving fundamentals. </w:t>
      </w:r>
      <w:r>
        <w:rPr>
          <w:rFonts w:ascii="Calibri" w:hAnsi="Calibri"/>
          <w:b/>
          <w:color w:val="525866"/>
          <w:sz w:val="22"/>
        </w:rPr>
        <w:t>The stock is not pricing in a beat, creating an asymmetric setup into the print.</w:t>
      </w:r>
    </w:p>
    <w:p>
      <w:r>
        <w:rPr>
          <w:rFonts w:ascii="Calibri" w:hAnsi="Calibri"/>
          <w:color w:val="525866"/>
          <w:sz w:val="22"/>
        </w:rPr>
        <w:t xml:space="preserve">Since the Q2 FY2026 earnings close on April 21, 2026 (pre-earnings), TEL has declined approximately </w:t>
      </w:r>
      <w:r>
        <w:rPr>
          <w:rFonts w:ascii="Calibri" w:hAnsi="Calibri"/>
          <w:b/>
          <w:color w:val="525866"/>
          <w:sz w:val="22"/>
        </w:rPr>
        <w:t>-14.1%</w:t>
      </w:r>
      <w:r>
        <w:rPr>
          <w:rFonts w:ascii="Calibri" w:hAnsi="Calibri"/>
          <w:color w:val="525866"/>
          <w:sz w:val="22"/>
        </w:rPr>
        <w:t xml:space="preserve"> (from $243.18 to $209.01 as of July 21, 2026), significantly underperforming the S&amp;P 500 (+6.3%, from $704.08 to $748.28) and XLI (+4.2%, from $171.44 to $178.66). The stock fell ~9% on the day of the Q2 earnings report (April 22) despite beating on both revenue and EPS, as investors focused on the deceleration in organic growth from Q1 and the stock's elevated pre-earnings multiple. The stock has continued to drift lower through June and early July, reaching a low of ~$196 in late June before recovering modestly to ~$209 ahead of the Q3 print.</w:t>
      </w:r>
    </w:p>
    <w:p>
      <w:r>
        <w:rPr>
          <w:rFonts w:ascii="Calibri" w:hAnsi="Calibri"/>
          <w:b/>
          <w:color w:val="525866"/>
          <w:sz w:val="22"/>
        </w:rPr>
        <w:t xml:space="preserve">Stock performance decomposition: </w:t>
      </w:r>
      <w:r>
        <w:rPr>
          <w:rFonts w:ascii="Calibri" w:hAnsi="Calibri"/>
          <w:color w:val="525866"/>
          <w:sz w:val="22"/>
        </w:rPr>
        <w:t>Over the past 3 months, TEL is down ~15.6% while NTM EV/EBITDA has compressed ~19.2% (from ~14.0x to ~11.3x), confirming that the decline is almost entirely multiple contraction rather than estimate cuts. Over 6 months, the pattern is similar: stock down ~13.3%, NTM EV/EBITDA down ~22.8%. This is a sentiment/valuation story, not a fundamental deterioration story.</w:t>
      </w:r>
    </w:p>
    <w:p>
      <w:r>
        <w:rPr>
          <w:rFonts w:ascii="Calibri" w:hAnsi="Calibri"/>
          <w:b/>
          <w:color w:val="525866"/>
          <w:sz w:val="22"/>
        </w:rPr>
        <w:t xml:space="preserve">Sector ETF used: </w:t>
      </w:r>
      <w:r>
        <w:rPr>
          <w:rFonts w:ascii="Calibri" w:hAnsi="Calibri"/>
          <w:color w:val="525866"/>
          <w:sz w:val="22"/>
        </w:rPr>
        <w:t>XLI (Industrial Select Sector SPDR Fund) — appropriate given TEL's classification as an industrial technology company with primary exposure to electronic components, automation, and energy infrastructure.</w:t>
      </w:r>
    </w:p>
    <w:p>
      <w:r>
        <w:rPr>
          <w:rFonts w:ascii="Calibri" w:hAnsi="Calibri"/>
          <w:b/>
          <w:color w:val="525866"/>
          <w:sz w:val="22"/>
        </w:rPr>
        <w:t>Key events since April 22, 2026:</w:t>
      </w:r>
    </w:p>
    <w:p>
      <w:pPr>
        <w:pStyle w:val="ListBullet"/>
        <w:ind w:left="360" w:hanging="360"/>
      </w:pPr>
      <w:r>
        <w:rPr>
          <w:rFonts w:ascii="Calibri" w:hAnsi="Calibri"/>
          <w:b/>
          <w:color w:val="525866"/>
          <w:sz w:val="22"/>
        </w:rPr>
        <w:t>April 22, 2026:</w:t>
      </w:r>
      <w:r>
        <w:rPr>
          <w:rFonts w:ascii="Calibri" w:hAnsi="Calibri"/>
          <w:color w:val="525866"/>
          <w:sz w:val="22"/>
        </w:rPr>
        <w:t xml:space="preserve"> Q2 FY2026 earnings — beat on revenue and EPS, AI revenue guidance raised $150M, record orders of $5.3B, book-to-bill 1.12x; stock fell ~9% on organic growth deceleration concerns.</w:t>
      </w:r>
    </w:p>
    <w:p>
      <w:pPr>
        <w:pStyle w:val="ListBullet"/>
        <w:ind w:left="360" w:hanging="360"/>
      </w:pPr>
      <w:r>
        <w:rPr>
          <w:rFonts w:ascii="Calibri" w:hAnsi="Calibri"/>
          <w:b/>
          <w:color w:val="525866"/>
          <w:sz w:val="22"/>
        </w:rPr>
        <w:t>May 28, 2026:</w:t>
      </w:r>
      <w:r>
        <w:rPr>
          <w:rFonts w:ascii="Calibri" w:hAnsi="Calibri"/>
          <w:color w:val="525866"/>
          <w:sz w:val="22"/>
        </w:rPr>
        <w:t xml:space="preserve"> CEO presented at Bernstein Strategic Decisions Conference — reinforced AI momentum (~$2.4B FY2026 revenue), described automation and commercial transportation as at "early inflection" well below peak, confirmed no order cancellations.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TEL Price</w:t>
            </w:r>
          </w:p>
        </w:tc>
        <w:tc>
          <w:tcPr>
            <w:tcW w:type="dxa" w:w="1728"/>
            <w:shd w:val="clear" w:color="auto" w:fill="3B4259"/>
          </w:tcPr>
          <w:p>
            <w:r>
              <w:rPr>
                <w:rFonts w:ascii="Calibri" w:hAnsi="Calibri"/>
                <w:b/>
                <w:color w:val="FFFFFF"/>
                <w:sz w:val="22"/>
              </w:rPr>
              <w:t>TEL Indexed (Base=100)</w:t>
            </w:r>
          </w:p>
        </w:tc>
        <w:tc>
          <w:tcPr>
            <w:tcW w:type="dxa" w:w="1728"/>
            <w:shd w:val="clear" w:color="auto" w:fill="3B4259"/>
          </w:tcPr>
          <w:p>
            <w:r>
              <w:rPr>
                <w:rFonts w:ascii="Calibri" w:hAnsi="Calibri"/>
                <w:b/>
                <w:color w:val="FFFFFF"/>
                <w:sz w:val="22"/>
              </w:rPr>
              <w:t>XLI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Apr 21 (pre-earnings close)</w:t>
            </w:r>
          </w:p>
        </w:tc>
        <w:tc>
          <w:tcPr>
            <w:tcW w:type="dxa" w:w="1728"/>
          </w:tcPr>
          <w:p>
            <w:r>
              <w:rPr>
                <w:rFonts w:ascii="Calibri" w:hAnsi="Calibri"/>
                <w:sz w:val="22"/>
              </w:rPr>
              <w:t>$243.18</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Apr 22 (earnings day)</w:t>
            </w:r>
          </w:p>
        </w:tc>
        <w:tc>
          <w:tcPr>
            <w:tcW w:type="dxa" w:w="1728"/>
          </w:tcPr>
          <w:p>
            <w:r>
              <w:rPr>
                <w:rFonts w:ascii="Calibri" w:hAnsi="Calibri"/>
                <w:sz w:val="22"/>
              </w:rPr>
              <w:t>$221.04</w:t>
            </w:r>
          </w:p>
        </w:tc>
        <w:tc>
          <w:tcPr>
            <w:tcW w:type="dxa" w:w="1728"/>
          </w:tcPr>
          <w:p>
            <w:r>
              <w:rPr>
                <w:rFonts w:ascii="Calibri" w:hAnsi="Calibri"/>
                <w:sz w:val="22"/>
              </w:rPr>
              <w:t>90.9</w:t>
            </w:r>
          </w:p>
        </w:tc>
        <w:tc>
          <w:tcPr>
            <w:tcW w:type="dxa" w:w="1728"/>
          </w:tcPr>
          <w:p>
            <w:r>
              <w:rPr>
                <w:rFonts w:ascii="Calibri" w:hAnsi="Calibri"/>
                <w:sz w:val="22"/>
              </w:rPr>
              <w:t>99.8</w:t>
            </w:r>
          </w:p>
        </w:tc>
        <w:tc>
          <w:tcPr>
            <w:tcW w:type="dxa" w:w="1728"/>
          </w:tcPr>
          <w:p>
            <w:r>
              <w:rPr>
                <w:rFonts w:ascii="Calibri" w:hAnsi="Calibri"/>
                <w:sz w:val="22"/>
              </w:rPr>
              <w:t>101.0</w:t>
            </w:r>
          </w:p>
        </w:tc>
      </w:tr>
      <w:tr>
        <w:tc>
          <w:tcPr>
            <w:tcW w:type="dxa" w:w="1728"/>
          </w:tcPr>
          <w:p>
            <w:r>
              <w:rPr>
                <w:rFonts w:ascii="Calibri" w:hAnsi="Calibri"/>
                <w:sz w:val="22"/>
              </w:rPr>
              <w:t>May 28 (Bernstein conf.)</w:t>
            </w:r>
          </w:p>
        </w:tc>
        <w:tc>
          <w:tcPr>
            <w:tcW w:type="dxa" w:w="1728"/>
          </w:tcPr>
          <w:p>
            <w:r>
              <w:rPr>
                <w:rFonts w:ascii="Calibri" w:hAnsi="Calibri"/>
                <w:sz w:val="22"/>
              </w:rPr>
              <w:t>$210.33</w:t>
            </w:r>
          </w:p>
        </w:tc>
        <w:tc>
          <w:tcPr>
            <w:tcW w:type="dxa" w:w="1728"/>
          </w:tcPr>
          <w:p>
            <w:r>
              <w:rPr>
                <w:rFonts w:ascii="Calibri" w:hAnsi="Calibri"/>
                <w:sz w:val="22"/>
              </w:rPr>
              <w:t>86.5</w:t>
            </w:r>
          </w:p>
        </w:tc>
        <w:tc>
          <w:tcPr>
            <w:tcW w:type="dxa" w:w="1728"/>
          </w:tcPr>
          <w:p>
            <w:r>
              <w:rPr>
                <w:rFonts w:ascii="Calibri" w:hAnsi="Calibri"/>
                <w:sz w:val="22"/>
              </w:rPr>
              <w:t>101.4</w:t>
            </w:r>
          </w:p>
        </w:tc>
        <w:tc>
          <w:tcPr>
            <w:tcW w:type="dxa" w:w="1728"/>
          </w:tcPr>
          <w:p>
            <w:r>
              <w:rPr>
                <w:rFonts w:ascii="Calibri" w:hAnsi="Calibri"/>
                <w:sz w:val="22"/>
              </w:rPr>
              <w:t>107.2</w:t>
            </w:r>
          </w:p>
        </w:tc>
      </w:tr>
      <w:tr>
        <w:tc>
          <w:tcPr>
            <w:tcW w:type="dxa" w:w="1728"/>
          </w:tcPr>
          <w:p>
            <w:r>
              <w:rPr>
                <w:rFonts w:ascii="Calibri" w:hAnsi="Calibri"/>
                <w:sz w:val="22"/>
              </w:rPr>
              <w:t>Jun 30 (quarter end)</w:t>
            </w:r>
          </w:p>
        </w:tc>
        <w:tc>
          <w:tcPr>
            <w:tcW w:type="dxa" w:w="1728"/>
          </w:tcPr>
          <w:p>
            <w:r>
              <w:rPr>
                <w:rFonts w:ascii="Calibri" w:hAnsi="Calibri"/>
                <w:sz w:val="22"/>
              </w:rPr>
              <w:t>$201.61</w:t>
            </w:r>
          </w:p>
        </w:tc>
        <w:tc>
          <w:tcPr>
            <w:tcW w:type="dxa" w:w="1728"/>
          </w:tcPr>
          <w:p>
            <w:r>
              <w:rPr>
                <w:rFonts w:ascii="Calibri" w:hAnsi="Calibri"/>
                <w:sz w:val="22"/>
              </w:rPr>
              <w:t>82.9</w:t>
            </w:r>
          </w:p>
        </w:tc>
        <w:tc>
          <w:tcPr>
            <w:tcW w:type="dxa" w:w="1728"/>
          </w:tcPr>
          <w:p>
            <w:r>
              <w:rPr>
                <w:rFonts w:ascii="Calibri" w:hAnsi="Calibri"/>
                <w:sz w:val="22"/>
              </w:rPr>
              <w:t>108.0</w:t>
            </w:r>
          </w:p>
        </w:tc>
        <w:tc>
          <w:tcPr>
            <w:tcW w:type="dxa" w:w="1728"/>
          </w:tcPr>
          <w:p>
            <w:r>
              <w:rPr>
                <w:rFonts w:ascii="Calibri" w:hAnsi="Calibri"/>
                <w:sz w:val="22"/>
              </w:rPr>
              <w:t>106.1</w:t>
            </w:r>
          </w:p>
        </w:tc>
      </w:tr>
      <w:tr>
        <w:tc>
          <w:tcPr>
            <w:tcW w:type="dxa" w:w="1728"/>
          </w:tcPr>
          <w:p>
            <w:r>
              <w:rPr>
                <w:rFonts w:ascii="Calibri" w:hAnsi="Calibri"/>
                <w:sz w:val="22"/>
              </w:rPr>
              <w:t>Jul 21 (current)</w:t>
            </w:r>
          </w:p>
        </w:tc>
        <w:tc>
          <w:tcPr>
            <w:tcW w:type="dxa" w:w="1728"/>
          </w:tcPr>
          <w:p>
            <w:r>
              <w:rPr>
                <w:rFonts w:ascii="Calibri" w:hAnsi="Calibri"/>
                <w:sz w:val="22"/>
              </w:rPr>
              <w:t>$209.01</w:t>
            </w:r>
          </w:p>
        </w:tc>
        <w:tc>
          <w:tcPr>
            <w:tcW w:type="dxa" w:w="1728"/>
          </w:tcPr>
          <w:p>
            <w:r>
              <w:rPr>
                <w:rFonts w:ascii="Calibri" w:hAnsi="Calibri"/>
                <w:sz w:val="22"/>
              </w:rPr>
              <w:t>85.9</w:t>
            </w:r>
          </w:p>
        </w:tc>
        <w:tc>
          <w:tcPr>
            <w:tcW w:type="dxa" w:w="1728"/>
          </w:tcPr>
          <w:p>
            <w:r>
              <w:rPr>
                <w:rFonts w:ascii="Calibri" w:hAnsi="Calibri"/>
                <w:sz w:val="22"/>
              </w:rPr>
              <w:t>104.2</w:t>
            </w:r>
          </w:p>
        </w:tc>
        <w:tc>
          <w:tcPr>
            <w:tcW w:type="dxa" w:w="1728"/>
          </w:tcPr>
          <w:p>
            <w:r>
              <w:rPr>
                <w:rFonts w:ascii="Calibri" w:hAnsi="Calibri"/>
                <w:sz w:val="22"/>
              </w:rPr>
              <w:t>106.3</w:t>
            </w:r>
          </w:p>
        </w:tc>
      </w:tr>
    </w:tbl>
    <w:p>
      <w:r>
        <w:rPr>
          <w:rFonts w:ascii="Calibri" w:hAnsi="Calibri"/>
          <w:i/>
          <w:color w:val="525866"/>
          <w:sz w:val="22"/>
        </w:rPr>
        <w:t>Source: Stock Price Data (Yahoo Finance). Indexed to April 21, 2026 close (pre-earnings). XLI = Industrial Select Sector SPDR Fund.</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Q2 print is the CEO's May 28 Bernstein conference commentary confirming accelerating AI revenue momentum and broad-based industrial inflection — this reinforces the Q3 setup and raises the probability of another guidance raise at the print.</w:t>
      </w:r>
    </w:p>
    <w:p>
      <w:pPr>
        <w:pStyle w:val="ListBullet"/>
        <w:ind w:left="360" w:hanging="360"/>
      </w:pPr>
      <w:r>
        <w:rPr>
          <w:rFonts w:ascii="Calibri" w:hAnsi="Calibri"/>
          <w:b/>
          <w:color w:val="525866"/>
          <w:sz w:val="22"/>
        </w:rPr>
        <w:t>May 28, 2026 — CEO Bernstein Conference (Constructive):</w:t>
      </w:r>
      <w:r>
        <w:rPr>
          <w:rFonts w:ascii="Calibri" w:hAnsi="Calibri"/>
          <w:color w:val="525866"/>
          <w:sz w:val="22"/>
        </w:rPr>
        <w:t xml:space="preserve"> CEO Terrence Curtin confirmed FY2026 AI/DDN revenue momentum had shifted from $2.0B to ~$2.4B, described automation and commercial transportation as at an "early inflection" and "well below peak," and stated orders were up 25% last quarter with no cancellations. Confirmed CapEx at ~6% of sales, entirely driven by DDN AI program ramps. Implication: reinforces Q3 guidance and raises probability of a third consecutive AI revenue raise.</w:t>
      </w:r>
    </w:p>
    <w:p>
      <w:pPr>
        <w:pStyle w:val="ListBullet"/>
        <w:ind w:left="360" w:hanging="360"/>
      </w:pPr>
      <w:r>
        <w:rPr>
          <w:rFonts w:ascii="Calibri" w:hAnsi="Calibri"/>
          <w:b/>
          <w:color w:val="525866"/>
          <w:sz w:val="22"/>
        </w:rPr>
        <w:t>May 28, 2026 — Copper &amp; Optical Strategy Clarified:</w:t>
      </w:r>
      <w:r>
        <w:rPr>
          <w:rFonts w:ascii="Calibri" w:hAnsi="Calibri"/>
          <w:color w:val="525866"/>
          <w:sz w:val="22"/>
        </w:rPr>
        <w:t xml:space="preserve"> CEO explicitly framed the opportunity as "copper AND optical, not copper OR optical," confirmed TEL will stay in passives (not transceivers), and described the RAM Photonics acquisition (completed Q2) as enabling fiber-attach to CPO for scale-out architectures. Implication: addresses the key bear case that optical displaces copper; positions TEL to benefit from both architectures.</w:t>
      </w:r>
    </w:p>
    <w:p>
      <w:pPr>
        <w:pStyle w:val="ListBullet"/>
        <w:ind w:left="360" w:hanging="360"/>
      </w:pPr>
      <w:r>
        <w:rPr>
          <w:rFonts w:ascii="Calibri" w:hAnsi="Calibri"/>
          <w:b/>
          <w:color w:val="525866"/>
          <w:sz w:val="22"/>
        </w:rPr>
        <w:t>May 28, 2026 — Energy Business Composition Disclosed:</w:t>
      </w:r>
      <w:r>
        <w:rPr>
          <w:rFonts w:ascii="Calibri" w:hAnsi="Calibri"/>
          <w:color w:val="525866"/>
          <w:sz w:val="22"/>
        </w:rPr>
        <w:t xml:space="preserve"> CEO provided new granular detail: ~2/3 of energy revenue is North America grid hardening (growing high single digits), ~20% is power connections into data centers (growing double digits), and the remainder is clean energy/renewables (growing high single digits). Implication: energy segment has dual exposure to both the utility CapEx cycle and AI infrastructure buildout, making it more durable than the market may appreciate.</w:t>
      </w:r>
    </w:p>
    <w:p>
      <w:pPr>
        <w:pStyle w:val="ListBullet"/>
        <w:ind w:left="360" w:hanging="360"/>
      </w:pPr>
      <w:r>
        <w:rPr>
          <w:rFonts w:ascii="Calibri" w:hAnsi="Calibri"/>
          <w:b/>
          <w:color w:val="525866"/>
          <w:sz w:val="22"/>
        </w:rPr>
        <w:t>May 28, 2026 — Automotive China Content Quantified:</w:t>
      </w:r>
      <w:r>
        <w:rPr>
          <w:rFonts w:ascii="Calibri" w:hAnsi="Calibri"/>
          <w:color w:val="525866"/>
          <w:sz w:val="22"/>
        </w:rPr>
        <w:t xml:space="preserve"> CEO stated EV content is ~2x ICE content, China content per vehicle is above TEL's overall average, and TEL's China supply chain is ~90% localized. Implication: mitigates geopolitical risk and reinforces the content growth thesis in the world's largest EV market.</w:t>
      </w:r>
    </w:p>
    <w:p>
      <w:pPr>
        <w:pStyle w:val="ListBullet"/>
        <w:ind w:left="360" w:hanging="360"/>
      </w:pPr>
      <w:r>
        <w:rPr>
          <w:rFonts w:ascii="Calibri" w:hAnsi="Calibri"/>
          <w:b/>
          <w:color w:val="525866"/>
          <w:sz w:val="22"/>
        </w:rPr>
        <w:t>April 22, 2026 — Q2 FY2026 Earnings (Beat + Raise):</w:t>
      </w:r>
      <w:r>
        <w:rPr>
          <w:rFonts w:ascii="Calibri" w:hAnsi="Calibri"/>
          <w:color w:val="525866"/>
          <w:sz w:val="22"/>
        </w:rPr>
        <w:t xml:space="preserve"> Revenue of $4.744B and adj. EPS of $2.725 both above guidance; AI revenue guidance raised $150M (entirely in 2H); record orders of $5.3B with book-to-bill of 1.12x; 10% quarterly dividend increase and new share repurchase authorization announced. Stock fell ~9% on organic growth deceleration concerns despite the beat.</w:t>
      </w:r>
    </w:p>
    <w:p>
      <w:pPr>
        <w:pStyle w:val="ListBullet"/>
        <w:ind w:left="360" w:hanging="360"/>
      </w:pPr>
      <w:r>
        <w:rPr>
          <w:rFonts w:ascii="Calibri" w:hAnsi="Calibri"/>
          <w:b/>
          <w:color w:val="525866"/>
          <w:sz w:val="22"/>
        </w:rPr>
        <w:t>April 22, 2026 — RAM Photonics Acquisition Completed:</w:t>
      </w:r>
      <w:r>
        <w:rPr>
          <w:rFonts w:ascii="Calibri" w:hAnsi="Calibri"/>
          <w:color w:val="525866"/>
          <w:sz w:val="22"/>
        </w:rPr>
        <w:t xml:space="preserve"> TEL completed the acquisition of RAM Photonics, a passive optical connectivity technology company, during Q2. Implication: strengthens the optical roadmap and positions TEL to capture content in scale-out AI architectures where it was previously less exposed.</w:t>
      </w:r>
    </w:p>
    <w:p>
      <w:pPr>
        <w:pStyle w:val="ListBullet"/>
        <w:ind w:left="360" w:hanging="360"/>
      </w:pPr>
      <w:r>
        <w:rPr>
          <w:rFonts w:ascii="Calibri" w:hAnsi="Calibri"/>
          <w:b/>
          <w:color w:val="525866"/>
          <w:sz w:val="22"/>
        </w:rPr>
        <w:t>July 1, 2026 — Q3 Earnings Date Confirmed:</w:t>
      </w:r>
      <w:r>
        <w:rPr>
          <w:rFonts w:ascii="Calibri" w:hAnsi="Calibri"/>
          <w:color w:val="525866"/>
          <w:sz w:val="22"/>
        </w:rPr>
        <w:t xml:space="preserve"> TEL confirmed Q3 FY2026 results will be reported July 22, 2026 at 8:30 AM ET.</w:t>
      </w:r>
    </w:p>
    <w:p>
      <w:pPr>
        <w:pStyle w:val="ListBullet"/>
        <w:ind w:left="360" w:hanging="360"/>
      </w:pPr>
      <w:r>
        <w:rPr>
          <w:rFonts w:ascii="Calibri" w:hAnsi="Calibri"/>
          <w:b/>
          <w:color w:val="525866"/>
          <w:sz w:val="22"/>
        </w:rPr>
        <w:t>July 21, 2026 — 3M (MMM) Q2 2026 Earnings (Positive Read-Through):</w:t>
      </w:r>
      <w:r>
        <w:rPr>
          <w:rFonts w:ascii="Calibri" w:hAnsi="Calibri"/>
          <w:color w:val="525866"/>
          <w:sz w:val="22"/>
        </w:rPr>
        <w:t xml:space="preserve"> 3M reported Q2 EPS of $2.40 vs. $2.25 consensus, with 5.4% organic growth (vs. 3.2% expected), strength in Safety &amp; Industrial and Transportation &amp; Electronics, and raised full-year EPS guidance to $8.80–$8.95 from $8.50–$8.70. Additionally, 3M disclosed its expanded beam optical (EBow) technology is being deployed in Microsoft Azure data centers, with $40–$50M in 2026 revenue and a TAM growing from ~$1B to ~$2B by 2028. Implication: positive read-through for TEL's industrial segment and confirms continued AI data center infrastructure investment.</w:t>
      </w:r>
    </w:p>
    <w:p>
      <w:pPr>
        <w:pStyle w:val="ListBullet"/>
        <w:ind w:left="360" w:hanging="360"/>
      </w:pPr>
      <w:r>
        <w:rPr>
          <w:rFonts w:ascii="Calibri" w:hAnsi="Calibri"/>
          <w:b/>
          <w:color w:val="525866"/>
          <w:sz w:val="22"/>
        </w:rPr>
        <w:t>Ongoing — Tariff/Trade Policy Uncertainty:</w:t>
      </w:r>
      <w:r>
        <w:rPr>
          <w:rFonts w:ascii="Calibri" w:hAnsi="Calibri"/>
          <w:color w:val="525866"/>
          <w:sz w:val="22"/>
        </w:rPr>
        <w:t xml:space="preserve"> Multiple tariff escalations (Canada 50%, Brazil 25%, ongoing USMCA review) create input cost and supply chain uncertainty. TEL's ~80% localized manufacturing and ~90% China supply chain localization provide meaningful insulation, but oil-based resin and freight cost inflation (flagged at Q2 earnings) remains a margin headwind to monitor.</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Only one insider transaction was identified in the post-Q2 window — a planned 10b5-1 sale by the President of Industrial Solutions. The transaction is obligation-driven and not a discretionary signal; no open-market buys or unusual sale clusters were observed.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Shadrak W. Kroeger</w:t>
            </w:r>
          </w:p>
        </w:tc>
        <w:tc>
          <w:tcPr>
            <w:tcW w:type="dxa" w:w="1440"/>
          </w:tcPr>
          <w:p>
            <w:r>
              <w:rPr>
                <w:rFonts w:ascii="Calibri" w:hAnsi="Calibri"/>
                <w:sz w:val="22"/>
              </w:rPr>
              <w:t>President, Industrial Solutions</w:t>
            </w:r>
          </w:p>
        </w:tc>
        <w:tc>
          <w:tcPr>
            <w:tcW w:type="dxa" w:w="1440"/>
          </w:tcPr>
          <w:p>
            <w:r>
              <w:rPr>
                <w:rFonts w:ascii="Calibri" w:hAnsi="Calibri"/>
                <w:sz w:val="22"/>
              </w:rPr>
              <w:t>10b5-1 Planned Sale</w:t>
            </w:r>
          </w:p>
        </w:tc>
        <w:tc>
          <w:tcPr>
            <w:tcW w:type="dxa" w:w="1440"/>
          </w:tcPr>
          <w:p>
            <w:r>
              <w:rPr>
                <w:rFonts w:ascii="Calibri" w:hAnsi="Calibri"/>
                <w:sz w:val="22"/>
              </w:rPr>
              <w:t>9,400 shares</w:t>
            </w:r>
          </w:p>
        </w:tc>
        <w:tc>
          <w:tcPr>
            <w:tcW w:type="dxa" w:w="1440"/>
          </w:tcPr>
          <w:p>
            <w:r>
              <w:rPr>
                <w:rFonts w:ascii="Calibri" w:hAnsi="Calibri"/>
                <w:sz w:val="22"/>
              </w:rPr>
              <w:t>May 6, 2026</w:t>
            </w:r>
          </w:p>
        </w:tc>
        <w:tc>
          <w:tcPr>
            <w:tcW w:type="dxa" w:w="1440"/>
          </w:tcPr>
          <w:p>
            <w:r>
              <w:rPr>
                <w:rFonts w:ascii="Calibri" w:hAnsi="Calibri"/>
                <w:sz w:val="22"/>
              </w:rPr>
              <w:t>Pre-planned 10b5-1 sale; obligation-driven, not discretionary. Retained 25,976 shares post-transaction.</w:t>
            </w:r>
          </w:p>
        </w:tc>
      </w:tr>
    </w:tbl>
    <w:p>
      <w:r>
        <w:rPr>
          <w:rFonts w:ascii="Calibri" w:hAnsi="Calibri"/>
          <w:i/>
          <w:color w:val="525866"/>
          <w:sz w:val="22"/>
        </w:rPr>
        <w:t>Source: SEC Form 4 Filings Database. Filing date: May 7, 2026. Transaction code: S (sale). Ownership form: Direct.</w:t>
      </w:r>
    </w:p>
    <w:p>
      <w:r>
        <w:rPr>
          <w:rFonts w:ascii="Calibri" w:hAnsi="Calibri"/>
          <w:color w:val="525866"/>
          <w:sz w:val="22"/>
        </w:rPr>
        <w:t>No open-market buys were identified in the April 22 – July 21, 2026 window. The single 10b5-1 planned sale by the President of Industrial Solutions is routine and not a meaningful signal. The absence of discretionary insider buying following the ~14% stock decline since the Q2 print is worth noting but is not unusual given the pre-planned nature of most executive trading programs.</w:t>
      </w:r>
    </w:p>
    <w:p>
      <w:r>
        <w:br w:type="page"/>
      </w:r>
    </w:p>
    <w:p>
      <w:pPr>
        <w:pStyle w:val="Heading1"/>
        <w:pBdr>
          <w:bottom w:val="single" w:sz="4" w:space="1" w:color="FB9120"/>
        </w:pBdr>
      </w:pPr>
      <w:r>
        <w:rPr>
          <w:rFonts w:ascii="Calibri" w:hAnsi="Calibri"/>
          <w:b/>
          <w:color w:val="3B4259"/>
          <w:sz w:val="40"/>
        </w:rPr>
        <w:t>8. Peer Commentary: Current-Quarter Read-Through</w:t>
      </w:r>
    </w:p>
    <w:p>
      <w:r>
        <w:rPr>
          <w:rFonts w:ascii="Calibri" w:hAnsi="Calibri"/>
          <w:b/>
          <w:color w:val="525866"/>
          <w:sz w:val="22"/>
        </w:rPr>
        <w:t xml:space="preserve">Key Takeaway: </w:t>
      </w:r>
      <w:r>
        <w:rPr>
          <w:rFonts w:ascii="Calibri" w:hAnsi="Calibri"/>
          <w:color w:val="525866"/>
          <w:sz w:val="22"/>
        </w:rPr>
        <w:t>Peer commentary from May 22 – July 21, 2026 is broadly positive for TEL's Q3 FY2026 setup across all major end markets — AI/data center demand is described as "insatiable" (Broadcom) and accelerating (Jabil), industrial is at an "early inflection" (TEL's own Bernstein commentary), and 3M's Q2 beat with raised guidance confirms the industrial recovery is real. The only cautionary note is 3M's characterization of auto build rates as still expected to be down YoY in 2H 2026.</w:t>
      </w:r>
    </w:p>
    <w:p>
      <w:r>
        <w:rPr>
          <w:rFonts w:ascii="Calibri" w:hAnsi="Calibri"/>
          <w:i/>
          <w:color w:val="525866"/>
          <w:sz w:val="22"/>
        </w:rPr>
        <w:t xml:space="preserve">Methodology: </w:t>
      </w:r>
      <w:r>
        <w:rPr>
          <w:rFonts w:ascii="Calibri" w:hAnsi="Calibri"/>
          <w:i/>
          <w:color w:val="525866"/>
          <w:sz w:val="22"/>
        </w:rPr>
        <w:t>Only commentary made between May 22 and July 21, 2026 that explicitly discusses the speaker's then-current or forward reporting period is included below. Prior-quarter results commentary (e.g., a company discussing its own Q1 results on its Q1 earnings call) is excluded. All sources are identified with date and context.</w:t>
      </w:r>
    </w:p>
    <w:p>
      <w:pPr>
        <w:pStyle w:val="Heading2"/>
      </w:pPr>
      <w:r>
        <w:rPr>
          <w:rFonts w:ascii="Calibri" w:hAnsi="Calibri"/>
          <w:b/>
          <w:color w:val="3B4259"/>
          <w:sz w:val="28"/>
        </w:rPr>
        <w:t>8.1 AI / Data Center Connectivity</w:t>
      </w:r>
    </w:p>
    <w:p>
      <w:pPr>
        <w:pStyle w:val="Heading3"/>
      </w:pPr>
      <w:r>
        <w:rPr>
          <w:rFonts w:ascii="Calibri" w:hAnsi="Calibri"/>
          <w:b/>
          <w:color w:val="3B4259"/>
          <w:sz w:val="24"/>
        </w:rPr>
        <w:t>Broadcom (AVGO) — Q2 FY2026 Earnings Call, June 3, 2026</w:t>
      </w:r>
    </w:p>
    <w:p>
      <w:r>
        <w:rPr>
          <w:rFonts w:ascii="Calibri" w:hAnsi="Calibri"/>
          <w:b/>
          <w:color w:val="525866"/>
          <w:sz w:val="22"/>
        </w:rPr>
        <w:t xml:space="preserve">Sign: </w:t>
      </w:r>
      <w:r>
        <w:rPr>
          <w:rFonts w:ascii="Calibri" w:hAnsi="Calibri"/>
          <w:b/>
          <w:color w:val="30A46C"/>
          <w:sz w:val="22"/>
        </w:rPr>
        <w:t>Strongly Positive</w:t>
      </w:r>
    </w:p>
    <w:p>
      <w:r>
        <w:rPr>
          <w:rFonts w:ascii="Calibri" w:hAnsi="Calibri"/>
          <w:b/>
          <w:color w:val="525866"/>
          <w:sz w:val="22"/>
        </w:rPr>
        <w:t xml:space="preserve">Relevance to TEL: </w:t>
      </w:r>
      <w:r>
        <w:rPr>
          <w:rFonts w:ascii="Calibri" w:hAnsi="Calibri"/>
          <w:color w:val="525866"/>
          <w:sz w:val="22"/>
        </w:rPr>
        <w:t>High — Broadcom is the leading AI ASIC/networking chip supplier to hyperscalers; its demand commentary is the most direct forward indicator for AI infrastructure connectivity demand.</w:t>
      </w:r>
    </w:p>
    <w:p>
      <w:pPr>
        <w:pStyle w:val="ListBullet"/>
        <w:ind w:left="360" w:hanging="360"/>
      </w:pPr>
      <w:r>
        <w:rPr>
          <w:rFonts w:ascii="Calibri" w:hAnsi="Calibri"/>
          <w:color w:val="525866"/>
          <w:sz w:val="22"/>
        </w:rPr>
        <w:t xml:space="preserve">AI semiconductor revenue for Q3 FY2026 (Broadcom's current quarter) is expected to accelerate to </w:t>
      </w:r>
      <w:r>
        <w:rPr>
          <w:rFonts w:ascii="Calibri" w:hAnsi="Calibri"/>
          <w:b/>
          <w:color w:val="525866"/>
          <w:sz w:val="22"/>
        </w:rPr>
        <w:t>~$16B, up over 200% year-on-year</w:t>
      </w:r>
      <w:r>
        <w:rPr>
          <w:rFonts w:ascii="Calibri" w:hAnsi="Calibri"/>
          <w:color w:val="525866"/>
          <w:sz w:val="22"/>
        </w:rPr>
        <w:t>; full-year FY2026 AI semiconductor revenue is expected to reach $56B, up ~180% from FY2025.</w:t>
      </w:r>
    </w:p>
    <w:p>
      <w:pPr>
        <w:pStyle w:val="ListBullet"/>
        <w:ind w:left="360" w:hanging="360"/>
      </w:pPr>
      <w:r>
        <w:rPr>
          <w:rFonts w:ascii="Calibri" w:hAnsi="Calibri"/>
          <w:b/>
          <w:color w:val="525866"/>
          <w:sz w:val="22"/>
        </w:rPr>
        <w:t>"Demand for XPUs and networking is simply insatiable."</w:t>
      </w:r>
      <w:r>
        <w:rPr>
          <w:rFonts w:ascii="Calibri" w:hAnsi="Calibri"/>
          <w:color w:val="525866"/>
          <w:sz w:val="22"/>
        </w:rPr>
        <w:t xml:space="preserve"> Bookings for AI semiconductors were over $30B in Q2 against $10.8B shipped, implying a massive and growing backlog.</w:t>
      </w:r>
    </w:p>
    <w:p>
      <w:pPr>
        <w:pStyle w:val="ListBullet"/>
        <w:ind w:left="360" w:hanging="360"/>
      </w:pPr>
      <w:r>
        <w:rPr>
          <w:rFonts w:ascii="Calibri" w:hAnsi="Calibri"/>
          <w:color w:val="525866"/>
          <w:sz w:val="22"/>
        </w:rPr>
        <w:t>Gigawatt commitments are concrete and multi-year: Anthropic (1 GW in 2026, 5 GW starting 2027), OpenAI (1.3 GW in 2027 as part of a 10 GW by 2029 agreement), Meta (3 GW through end of 2028). "10 gigawatts shipment in '27 is still very much intact."</w:t>
      </w:r>
    </w:p>
    <w:p>
      <w:pPr>
        <w:pStyle w:val="ListBullet"/>
        <w:ind w:left="360" w:hanging="360"/>
      </w:pPr>
      <w:r>
        <w:rPr>
          <w:rFonts w:ascii="Calibri" w:hAnsi="Calibri"/>
          <w:color w:val="525866"/>
          <w:sz w:val="22"/>
        </w:rPr>
        <w:t xml:space="preserve">On copper vs. optical: Broadcom explicitly described </w:t>
      </w:r>
      <w:r>
        <w:rPr>
          <w:rFonts w:ascii="Calibri" w:hAnsi="Calibri"/>
          <w:b/>
          <w:color w:val="525866"/>
          <w:sz w:val="22"/>
        </w:rPr>
        <w:t>"direct attached copper based on our industry-leading 200G and 400G SerDes"</w:t>
      </w:r>
      <w:r>
        <w:rPr>
          <w:rFonts w:ascii="Calibri" w:hAnsi="Calibri"/>
          <w:color w:val="525866"/>
          <w:sz w:val="22"/>
        </w:rPr>
        <w:t xml:space="preserve"> for scale-up within racks, and co-packaged optics (CPOs) for scale-out. "The connectivity side, the AI networking side of the business has very rich margins."</w:t>
      </w:r>
    </w:p>
    <w:p>
      <w:pPr>
        <w:pStyle w:val="ListBullet"/>
        <w:ind w:left="360" w:hanging="360"/>
      </w:pPr>
      <w:r>
        <w:rPr>
          <w:rFonts w:ascii="Calibri" w:hAnsi="Calibri"/>
          <w:b/>
          <w:color w:val="525866"/>
          <w:sz w:val="22"/>
        </w:rPr>
        <w:t>"Content per gigawatt will increase"</w:t>
      </w:r>
      <w:r>
        <w:rPr>
          <w:rFonts w:ascii="Calibri" w:hAnsi="Calibri"/>
          <w:color w:val="525866"/>
          <w:sz w:val="22"/>
        </w:rPr>
        <w:t xml:space="preserve"> as chips become more complex — positive for TEL's content growth thesis.</w:t>
      </w:r>
    </w:p>
    <w:p>
      <w:r>
        <w:rPr>
          <w:rFonts w:ascii="Calibri" w:hAnsi="Calibri"/>
          <w:b/>
          <w:color w:val="525866"/>
          <w:sz w:val="22"/>
        </w:rPr>
        <w:t xml:space="preserve">Read-through to TEL: </w:t>
      </w:r>
      <w:r>
        <w:rPr>
          <w:rFonts w:ascii="Calibri" w:hAnsi="Calibri"/>
          <w:color w:val="525866"/>
          <w:sz w:val="22"/>
        </w:rPr>
        <w:t>The scale and duration of hyperscaler AI infrastructure commitments (multi-year, multi-gigawatt) directly supports TEL's DDN/AI revenue ramp. Broadcom's explicit mention of copper connectors and CPOs as key components of the AI networking stack confirms TEL's product positioning. The "insatiable" demand characterization and growing backlog suggest TEL's record Q2 orders ($5.3B, 1.12x book-to-bill) are not a one-quarter phenomenon.</w:t>
      </w:r>
    </w:p>
    <w:p>
      <w:r>
        <w:rPr>
          <w:rFonts w:ascii="Calibri" w:hAnsi="Calibri"/>
          <w:i/>
          <w:color w:val="525866"/>
          <w:sz w:val="22"/>
        </w:rPr>
        <w:t xml:space="preserve">Limitation: </w:t>
      </w:r>
      <w:r>
        <w:rPr>
          <w:rFonts w:ascii="Calibri" w:hAnsi="Calibri"/>
          <w:i/>
          <w:color w:val="525866"/>
          <w:sz w:val="22"/>
        </w:rPr>
        <w:t>Broadcom's commentary is specific to its chip business; TEL's share of the physical layer connectivity within these programs is not quantified.</w:t>
      </w:r>
    </w:p>
    <w:p>
      <w:pPr>
        <w:pStyle w:val="Heading3"/>
      </w:pPr>
      <w:r>
        <w:rPr>
          <w:rFonts w:ascii="Calibri" w:hAnsi="Calibri"/>
          <w:b/>
          <w:color w:val="3B4259"/>
          <w:sz w:val="24"/>
        </w:rPr>
        <w:t>Jabil (JBL) — Q3 FY2026 Earnings Call, June 17, 2026</w:t>
      </w:r>
    </w:p>
    <w:p>
      <w:r>
        <w:rPr>
          <w:rFonts w:ascii="Calibri" w:hAnsi="Calibri"/>
          <w:b/>
          <w:color w:val="525866"/>
          <w:sz w:val="22"/>
        </w:rPr>
        <w:t xml:space="preserve">Sign: </w:t>
      </w:r>
      <w:r>
        <w:rPr>
          <w:rFonts w:ascii="Calibri" w:hAnsi="Calibri"/>
          <w:b/>
          <w:color w:val="30A46C"/>
          <w:sz w:val="22"/>
        </w:rPr>
        <w:t>Very Positive</w:t>
      </w:r>
    </w:p>
    <w:p>
      <w:r>
        <w:rPr>
          <w:rFonts w:ascii="Calibri" w:hAnsi="Calibri"/>
          <w:b/>
          <w:color w:val="525866"/>
          <w:sz w:val="22"/>
        </w:rPr>
        <w:t xml:space="preserve">Relevance to TEL: </w:t>
      </w:r>
      <w:r>
        <w:rPr>
          <w:rFonts w:ascii="Calibri" w:hAnsi="Calibri"/>
          <w:color w:val="525866"/>
          <w:sz w:val="22"/>
        </w:rPr>
        <w:t>High — Jabil is a major EMS provider for hyperscaler AI infrastructure (racks, servers, networking, power); its demand commentary reflects the same end-market pull that drives TEL's DDN/AI connectivity revenue.</w:t>
      </w:r>
    </w:p>
    <w:p>
      <w:pPr>
        <w:pStyle w:val="ListBullet"/>
        <w:ind w:left="360" w:hanging="360"/>
      </w:pPr>
      <w:r>
        <w:rPr>
          <w:rFonts w:ascii="Calibri" w:hAnsi="Calibri"/>
          <w:color w:val="525866"/>
          <w:sz w:val="22"/>
        </w:rPr>
        <w:t xml:space="preserve">Full-year FY2026 AI-related revenue outlook raised to </w:t>
      </w:r>
      <w:r>
        <w:rPr>
          <w:rFonts w:ascii="Calibri" w:hAnsi="Calibri"/>
          <w:b/>
          <w:color w:val="525866"/>
          <w:sz w:val="22"/>
        </w:rPr>
        <w:t>~$13.6B, $500M higher than the March outlook of $13.1B</w:t>
      </w:r>
      <w:r>
        <w:rPr>
          <w:rFonts w:ascii="Calibri" w:hAnsi="Calibri"/>
          <w:color w:val="525866"/>
          <w:sz w:val="22"/>
        </w:rPr>
        <w:t xml:space="preserve"> and up from $9B in FY2025 — representing ~50% YoY growth. "AI infrastructure demand remained extremely strong, and our full year AI related revenue outlook is now meaningfully higher than what we laid out just 90 days ago."</w:t>
      </w:r>
    </w:p>
    <w:p>
      <w:pPr>
        <w:pStyle w:val="ListBullet"/>
        <w:ind w:left="360" w:hanging="360"/>
      </w:pPr>
      <w:r>
        <w:rPr>
          <w:rFonts w:ascii="Calibri" w:hAnsi="Calibri"/>
          <w:color w:val="525866"/>
          <w:sz w:val="22"/>
        </w:rPr>
        <w:t>Q4 FY2026 (Jabil's current quarter) Intelligent Infrastructure revenue expected at ~$4.9B, up ~32% YoY, with a "meaningful sequential step up from Q3, reflecting continued strength in AI related programs."</w:t>
      </w:r>
    </w:p>
    <w:p>
      <w:pPr>
        <w:pStyle w:val="ListBullet"/>
        <w:ind w:left="360" w:hanging="360"/>
      </w:pPr>
      <w:r>
        <w:rPr>
          <w:rFonts w:ascii="Calibri" w:hAnsi="Calibri"/>
          <w:color w:val="525866"/>
          <w:sz w:val="22"/>
        </w:rPr>
        <w:t>FY2027 AI revenue growth expected "in percentage terms to be similar to FY26" — implying another ~50% growth year off a $13.6B base.</w:t>
      </w:r>
    </w:p>
    <w:p>
      <w:pPr>
        <w:pStyle w:val="ListBullet"/>
        <w:ind w:left="360" w:hanging="360"/>
      </w:pPr>
      <w:r>
        <w:rPr>
          <w:rFonts w:ascii="Calibri" w:hAnsi="Calibri"/>
          <w:color w:val="525866"/>
          <w:sz w:val="22"/>
        </w:rPr>
        <w:t>Networking growth in FY2026 expected to "continue in 27," driven by "Ethernet demand, switchgear, and silicon photonics." High-density interconnect PCBs are "in high demand" with "lead times extending."</w:t>
      </w:r>
    </w:p>
    <w:p>
      <w:pPr>
        <w:pStyle w:val="ListBullet"/>
        <w:ind w:left="360" w:hanging="360"/>
      </w:pPr>
      <w:r>
        <w:rPr>
          <w:rFonts w:ascii="Calibri" w:hAnsi="Calibri"/>
          <w:color w:val="525866"/>
          <w:sz w:val="22"/>
        </w:rPr>
        <w:t>Won a third hyperscale customer in Q3; new North Carolina facility on track with run rates expected in the "$1B, $2B, $3B range over the next one, two and three years."</w:t>
      </w:r>
    </w:p>
    <w:p>
      <w:pPr>
        <w:pStyle w:val="ListBullet"/>
        <w:ind w:left="360" w:hanging="360"/>
      </w:pPr>
      <w:r>
        <w:rPr>
          <w:rFonts w:ascii="Calibri" w:hAnsi="Calibri"/>
          <w:color w:val="525866"/>
          <w:sz w:val="22"/>
        </w:rPr>
        <w:t>Supply chain note: "High demand for high bandwidth memory" and "high-end, high-density interconnect PCBs are in high demand. Lead times have been extending." Hyperscalers "get more than their fair share of some of these components."</w:t>
      </w:r>
    </w:p>
    <w:p>
      <w:r>
        <w:rPr>
          <w:rFonts w:ascii="Calibri" w:hAnsi="Calibri"/>
          <w:b/>
          <w:color w:val="525866"/>
          <w:sz w:val="22"/>
        </w:rPr>
        <w:t xml:space="preserve">Read-through to TEL: </w:t>
      </w:r>
      <w:r>
        <w:rPr>
          <w:rFonts w:ascii="Calibri" w:hAnsi="Calibri"/>
          <w:color w:val="525866"/>
          <w:sz w:val="22"/>
        </w:rPr>
        <w:t>Jabil's $500M upward revision to its AI revenue outlook (the second consecutive raise) directly mirrors TEL's pattern of consecutive AI revenue guidance raises. The explicit mention of networking, silicon photonics, and high-density interconnect PCBs as growth drivers confirms the demand environment for TEL's DDN products. Extending lead times and demand exceeding capacity suggest TEL's capacity investments (CapEx at ~6% of sales) are well-timed.</w:t>
      </w:r>
    </w:p>
    <w:p>
      <w:r>
        <w:rPr>
          <w:rFonts w:ascii="Calibri" w:hAnsi="Calibri"/>
          <w:i/>
          <w:color w:val="525866"/>
          <w:sz w:val="22"/>
        </w:rPr>
        <w:t xml:space="preserve">Limitation: </w:t>
      </w:r>
      <w:r>
        <w:rPr>
          <w:rFonts w:ascii="Calibri" w:hAnsi="Calibri"/>
          <w:i/>
          <w:color w:val="525866"/>
          <w:sz w:val="22"/>
        </w:rPr>
        <w:t>Jabil is an EMS provider (system integrator), not a component supplier; the commentary reflects end-market demand but does not quantify TEL's specific share of the content.</w:t>
      </w:r>
    </w:p>
    <w:p>
      <w:pPr>
        <w:pStyle w:val="Heading3"/>
      </w:pPr>
      <w:r>
        <w:rPr>
          <w:rFonts w:ascii="Calibri" w:hAnsi="Calibri"/>
          <w:b/>
          <w:color w:val="3B4259"/>
          <w:sz w:val="24"/>
        </w:rPr>
        <w:t>Corning (GLW) — Amazon Partnership Announcement, June 8, 2026</w:t>
      </w:r>
    </w:p>
    <w:p>
      <w:r>
        <w:rPr>
          <w:rFonts w:ascii="Calibri" w:hAnsi="Calibri"/>
          <w:b/>
          <w:color w:val="525866"/>
          <w:sz w:val="22"/>
        </w:rPr>
        <w:t xml:space="preserve">Sign: </w:t>
      </w:r>
      <w:r>
        <w:rPr>
          <w:rFonts w:ascii="Calibri" w:hAnsi="Calibri"/>
          <w:b/>
          <w:color w:val="30A46C"/>
          <w:sz w:val="22"/>
        </w:rPr>
        <w:t>Positive (Optical Demand Confirmation)</w:t>
      </w:r>
    </w:p>
    <w:p>
      <w:r>
        <w:rPr>
          <w:rFonts w:ascii="Calibri" w:hAnsi="Calibri"/>
          <w:b/>
          <w:color w:val="525866"/>
          <w:sz w:val="22"/>
        </w:rPr>
        <w:t xml:space="preserve">Relevance to TEL: </w:t>
      </w:r>
      <w:r>
        <w:rPr>
          <w:rFonts w:ascii="Calibri" w:hAnsi="Calibri"/>
          <w:color w:val="525866"/>
          <w:sz w:val="22"/>
        </w:rPr>
        <w:t>Medium — Corning's multi-billion dollar deal with Amazon (following similar deals with Meta and Nvidia in 2026) confirms hyperscaler demand for optical fiber in AI data centers, validating TEL's "copper AND optical" strategic positioning.</w:t>
      </w:r>
    </w:p>
    <w:p>
      <w:pPr>
        <w:pStyle w:val="ListBullet"/>
        <w:ind w:left="360" w:hanging="360"/>
      </w:pPr>
      <w:r>
        <w:rPr>
          <w:rFonts w:ascii="Calibri" w:hAnsi="Calibri"/>
          <w:color w:val="525866"/>
          <w:sz w:val="22"/>
        </w:rPr>
        <w:t>Corning secured a multi-billion dollar deal to supply Amazon's U.S. AI data centers with optical fiber, adding to 2026 partnerships with Meta and Nvidia. Corning shares jumped ~9% on the announcement.</w:t>
      </w:r>
    </w:p>
    <w:p>
      <w:pPr>
        <w:pStyle w:val="ListBullet"/>
        <w:ind w:left="360" w:hanging="360"/>
      </w:pPr>
      <w:r>
        <w:rPr>
          <w:rFonts w:ascii="Calibri" w:hAnsi="Calibri"/>
          <w:color w:val="525866"/>
          <w:sz w:val="22"/>
        </w:rPr>
        <w:t>Amazon joins Meta and Nvidia as hyperscalers committing to multi-year optical fiber supply agreements in 2026, confirming that optical is becoming a standard component of AI data center architecture.</w:t>
      </w:r>
    </w:p>
    <w:p>
      <w:r>
        <w:rPr>
          <w:rFonts w:ascii="Calibri" w:hAnsi="Calibri"/>
          <w:b/>
          <w:color w:val="525866"/>
          <w:sz w:val="22"/>
        </w:rPr>
        <w:t xml:space="preserve">Read-through to TEL: </w:t>
      </w:r>
      <w:r>
        <w:rPr>
          <w:rFonts w:ascii="Calibri" w:hAnsi="Calibri"/>
          <w:color w:val="525866"/>
          <w:sz w:val="22"/>
        </w:rPr>
        <w:t>Validates TEL's RAM Photonics acquisition and "copper AND optical" strategy. The proliferation of hyperscaler optical fiber commitments confirms that TEL's move into passive optical connectivity (fiber-attach to CPO) is well-timed and addresses a real and growing market need. TEL's positioning in passives (not transceivers) means it benefits from optical adoption without competing with Corning or transceiver vendors.</w:t>
      </w:r>
    </w:p>
    <w:p>
      <w:r>
        <w:rPr>
          <w:rFonts w:ascii="Calibri" w:hAnsi="Calibri"/>
          <w:i/>
          <w:color w:val="525866"/>
          <w:sz w:val="22"/>
        </w:rPr>
        <w:t xml:space="preserve">Limitation: </w:t>
      </w:r>
      <w:r>
        <w:rPr>
          <w:rFonts w:ascii="Calibri" w:hAnsi="Calibri"/>
          <w:i/>
          <w:color w:val="525866"/>
          <w:sz w:val="22"/>
        </w:rPr>
        <w:t>Corning's deal is for optical fiber, not connectors or passive optical components; the direct revenue impact on TEL is indirect and longer-term.</w:t>
      </w:r>
    </w:p>
    <w:p>
      <w:pPr>
        <w:pStyle w:val="Heading3"/>
      </w:pPr>
      <w:r>
        <w:rPr>
          <w:rFonts w:ascii="Calibri" w:hAnsi="Calibri"/>
          <w:b/>
          <w:color w:val="3B4259"/>
          <w:sz w:val="24"/>
        </w:rPr>
        <w:t>Vicor Corporation (VICR) — Q2 2026 Earnings Call, July 21, 2026</w:t>
      </w:r>
    </w:p>
    <w:p>
      <w:r>
        <w:rPr>
          <w:rFonts w:ascii="Calibri" w:hAnsi="Calibri"/>
          <w:b/>
          <w:color w:val="525866"/>
          <w:sz w:val="22"/>
        </w:rPr>
        <w:t xml:space="preserve">Sign: </w:t>
      </w:r>
      <w:r>
        <w:rPr>
          <w:rFonts w:ascii="Calibri" w:hAnsi="Calibri"/>
          <w:b/>
          <w:color w:val="30A46C"/>
          <w:sz w:val="22"/>
        </w:rPr>
        <w:t>Positive</w:t>
      </w:r>
    </w:p>
    <w:p>
      <w:r>
        <w:rPr>
          <w:rFonts w:ascii="Calibri" w:hAnsi="Calibri"/>
          <w:b/>
          <w:color w:val="525866"/>
          <w:sz w:val="22"/>
        </w:rPr>
        <w:t xml:space="preserve">Relevance to TEL: </w:t>
      </w:r>
      <w:r>
        <w:rPr>
          <w:rFonts w:ascii="Calibri" w:hAnsi="Calibri"/>
          <w:color w:val="525866"/>
          <w:sz w:val="22"/>
        </w:rPr>
        <w:t>Medium — Vicor is a power module supplier for AI data centers and HPC; its demand commentary reflects the same hyperscaler CapEx cycle that drives TEL's DDN connectivity revenue.</w:t>
      </w:r>
    </w:p>
    <w:p>
      <w:pPr>
        <w:pStyle w:val="ListBullet"/>
        <w:ind w:left="360" w:hanging="360"/>
      </w:pPr>
      <w:r>
        <w:rPr>
          <w:rFonts w:ascii="Calibri" w:hAnsi="Calibri"/>
          <w:color w:val="525866"/>
          <w:sz w:val="22"/>
        </w:rPr>
        <w:t>Vicor expects "a nearly 10% increase in Q3 revenue" and is "planning for double digit sequential increases in product revenue for advanced products." Full-year 2026 revenue target is "over $600 million."</w:t>
      </w:r>
    </w:p>
    <w:p>
      <w:pPr>
        <w:pStyle w:val="ListBullet"/>
        <w:ind w:left="360" w:hanging="360"/>
      </w:pPr>
      <w:r>
        <w:rPr>
          <w:rFonts w:ascii="Calibri" w:hAnsi="Calibri"/>
          <w:color w:val="525866"/>
          <w:sz w:val="22"/>
        </w:rPr>
        <w:t>"Book to bill came in above one" and "one year backlog increased 26% from the prior quarter, closing at $379.7 million." Management stated: "I don't see any weakness at all going forward."</w:t>
      </w:r>
    </w:p>
    <w:p>
      <w:pPr>
        <w:pStyle w:val="ListBullet"/>
        <w:ind w:left="360" w:hanging="360"/>
      </w:pPr>
      <w:r>
        <w:rPr>
          <w:rFonts w:ascii="Calibri" w:hAnsi="Calibri"/>
          <w:color w:val="525866"/>
          <w:sz w:val="22"/>
        </w:rPr>
        <w:t>"Aerospace and defense is strong. Industrial is very strong. High performance compute is strong." Lead times "have stretched out a little bit" with "demand exceeding capacity in a number of key areas."</w:t>
      </w:r>
    </w:p>
    <w:p>
      <w:pPr>
        <w:pStyle w:val="ListBullet"/>
        <w:ind w:left="360" w:hanging="360"/>
      </w:pPr>
      <w:r>
        <w:rPr>
          <w:rFonts w:ascii="Calibri" w:hAnsi="Calibri"/>
          <w:color w:val="525866"/>
          <w:sz w:val="22"/>
        </w:rPr>
        <w:t>Vicor is engaging with "a hyperscaler and a couple of OEMs" on its 2nd-generation VPD (vertical power delivery) solutions, with production ramps expected "late Q3, Q4 of next year."</w:t>
      </w:r>
    </w:p>
    <w:p>
      <w:r>
        <w:rPr>
          <w:rFonts w:ascii="Calibri" w:hAnsi="Calibri"/>
          <w:b/>
          <w:color w:val="525866"/>
          <w:sz w:val="22"/>
        </w:rPr>
        <w:t xml:space="preserve">Read-through to TEL: </w:t>
      </w:r>
      <w:r>
        <w:rPr>
          <w:rFonts w:ascii="Calibri" w:hAnsi="Calibri"/>
          <w:color w:val="525866"/>
          <w:sz w:val="22"/>
        </w:rPr>
        <w:t>Vicor's strong book-to-bill, growing backlog, and "no weakness" characterization across HPC, industrial, and aerospace confirm the broad-based demand environment that TEL described at Q2 earnings. Stretched lead times and demand exceeding capacity across the electronics supply chain suggest TEL's capacity investments are well-positioned.</w:t>
      </w:r>
    </w:p>
    <w:p>
      <w:r>
        <w:rPr>
          <w:rFonts w:ascii="Calibri" w:hAnsi="Calibri"/>
          <w:i/>
          <w:color w:val="525866"/>
          <w:sz w:val="22"/>
        </w:rPr>
        <w:t xml:space="preserve">Limitation: </w:t>
      </w:r>
      <w:r>
        <w:rPr>
          <w:rFonts w:ascii="Calibri" w:hAnsi="Calibri"/>
          <w:i/>
          <w:color w:val="525866"/>
          <w:sz w:val="22"/>
        </w:rPr>
        <w:t>Vicor's products are power modules (chip-level), not physical connectivity; the read-through is directional rather than direct.</w:t>
      </w:r>
    </w:p>
    <w:p>
      <w:pPr>
        <w:pStyle w:val="Heading2"/>
      </w:pPr>
      <w:r>
        <w:rPr>
          <w:rFonts w:ascii="Calibri" w:hAnsi="Calibri"/>
          <w:b/>
          <w:color w:val="3B4259"/>
          <w:sz w:val="28"/>
        </w:rPr>
        <w:t>8.2 Industrial Demand</w:t>
      </w:r>
    </w:p>
    <w:p>
      <w:pPr>
        <w:pStyle w:val="Heading3"/>
      </w:pPr>
      <w:r>
        <w:rPr>
          <w:rFonts w:ascii="Calibri" w:hAnsi="Calibri"/>
          <w:b/>
          <w:color w:val="3B4259"/>
          <w:sz w:val="24"/>
        </w:rPr>
        <w:t>3M (MMM) — Q2 2026 Earnings Call, July 21, 2026</w:t>
      </w:r>
    </w:p>
    <w:p>
      <w:r>
        <w:rPr>
          <w:rFonts w:ascii="Calibri" w:hAnsi="Calibri"/>
          <w:b/>
          <w:color w:val="525866"/>
          <w:sz w:val="22"/>
        </w:rPr>
        <w:t xml:space="preserve">Sign: </w:t>
      </w:r>
      <w:r>
        <w:rPr>
          <w:rFonts w:ascii="Calibri" w:hAnsi="Calibri"/>
          <w:b/>
          <w:color w:val="30A46C"/>
          <w:sz w:val="22"/>
        </w:rPr>
        <w:t>Positive (Industrial) / Cautionary (Auto)</w:t>
      </w:r>
    </w:p>
    <w:p>
      <w:r>
        <w:rPr>
          <w:rFonts w:ascii="Calibri" w:hAnsi="Calibri"/>
          <w:b/>
          <w:color w:val="525866"/>
          <w:sz w:val="22"/>
        </w:rPr>
        <w:t xml:space="preserve">Relevance to TEL: </w:t>
      </w:r>
      <w:r>
        <w:rPr>
          <w:rFonts w:ascii="Calibri" w:hAnsi="Calibri"/>
          <w:color w:val="525866"/>
          <w:sz w:val="22"/>
        </w:rPr>
        <w:t>High — 3M is a diversified industrial technology company with significant overlap with TEL's end markets (industrial, transportation, electronics, aerospace). 3M's Q2 beat and guidance raise is the most directly comparable peer print ahead of TEL's Q3 report.</w:t>
      </w:r>
    </w:p>
    <w:p>
      <w:pPr>
        <w:pStyle w:val="ListBullet"/>
        <w:ind w:left="360" w:hanging="360"/>
      </w:pPr>
      <w:r>
        <w:rPr>
          <w:rFonts w:ascii="Calibri" w:hAnsi="Calibri"/>
          <w:color w:val="525866"/>
          <w:sz w:val="22"/>
        </w:rPr>
        <w:t xml:space="preserve">3M reported Q2 EPS of $2.40 vs. $2.25 consensus, with </w:t>
      </w:r>
      <w:r>
        <w:rPr>
          <w:rFonts w:ascii="Calibri" w:hAnsi="Calibri"/>
          <w:b/>
          <w:color w:val="525866"/>
          <w:sz w:val="22"/>
        </w:rPr>
        <w:t>5.4% organic growth vs. 3.2% expected</w:t>
      </w:r>
      <w:r>
        <w:rPr>
          <w:rFonts w:ascii="Calibri" w:hAnsi="Calibri"/>
          <w:color w:val="525866"/>
          <w:sz w:val="22"/>
        </w:rPr>
        <w:t>; strength in Safety &amp; Industrial and Transportation &amp; Electronics. Raised full-year EPS guidance to $8.80–$8.95 from $8.50–$8.70.</w:t>
      </w:r>
    </w:p>
    <w:p>
      <w:pPr>
        <w:pStyle w:val="ListBullet"/>
        <w:ind w:left="360" w:hanging="360"/>
      </w:pPr>
      <w:r>
        <w:rPr>
          <w:rFonts w:ascii="Calibri" w:hAnsi="Calibri"/>
          <w:color w:val="525866"/>
          <w:sz w:val="22"/>
        </w:rPr>
        <w:t>Full-year organic growth raised to "&gt;3.5%" from "3%"; second-half organic growth expected at "high threes or better, over two times macro." Operating margin expansion of ~100 bps expected in 2H 2026.</w:t>
      </w:r>
    </w:p>
    <w:p>
      <w:pPr>
        <w:pStyle w:val="ListBullet"/>
        <w:ind w:left="360" w:hanging="360"/>
      </w:pPr>
      <w:r>
        <w:rPr>
          <w:rFonts w:ascii="Calibri" w:hAnsi="Calibri"/>
          <w:color w:val="525866"/>
          <w:sz w:val="22"/>
        </w:rPr>
        <w:t>Industrial momentum: "Good momentum in general industrial safety" expected in 2H. Roofing granules returned to growth. China grew double digits in Q2 with strength in industrial adhesives and safety.</w:t>
      </w:r>
    </w:p>
    <w:p>
      <w:pPr>
        <w:pStyle w:val="ListBullet"/>
        <w:ind w:left="360" w:hanging="360"/>
      </w:pPr>
      <w:r>
        <w:rPr>
          <w:rFonts w:ascii="Calibri" w:hAnsi="Calibri"/>
          <w:color w:val="525866"/>
          <w:sz w:val="22"/>
        </w:rPr>
        <w:t>Cost headwind: Oil inflation now estimated at $150–$175M (up from $125M), but "expected to be fully covered by price actions implemented in Q2" — "dollar neutral" but impacts margin rate by 20 bps.</w:t>
      </w:r>
    </w:p>
    <w:p>
      <w:pPr>
        <w:pStyle w:val="ListBullet"/>
        <w:ind w:left="360" w:hanging="360"/>
      </w:pPr>
      <w:r>
        <w:rPr>
          <w:rFonts w:ascii="Calibri" w:hAnsi="Calibri"/>
          <w:color w:val="525866"/>
          <w:sz w:val="22"/>
        </w:rPr>
        <w:t>Auto: "Auto was flat in a soft market" in Q2; for 2H, auto is "stabilizing in general but still expected to be down on a build rate year over year." Auto aftermarket "still expected to be soft."</w:t>
      </w:r>
    </w:p>
    <w:p>
      <w:pPr>
        <w:pStyle w:val="ListBullet"/>
        <w:ind w:left="360" w:hanging="360"/>
      </w:pPr>
      <w:r>
        <w:rPr>
          <w:rFonts w:ascii="Calibri" w:hAnsi="Calibri"/>
          <w:color w:val="525866"/>
          <w:sz w:val="22"/>
        </w:rPr>
        <w:t>AI/data center: 3M's EBow expanded beam optical technology is being deployed in Microsoft Azure data centers; $40–$50M in 2026 revenue, TAM growing from ~$1B to ~$2B by 2028. Capacity doubling this year and again over the next 12–18 months.</w:t>
      </w:r>
    </w:p>
    <w:p>
      <w:r>
        <w:rPr>
          <w:rFonts w:ascii="Calibri" w:hAnsi="Calibri"/>
          <w:b/>
          <w:color w:val="525866"/>
          <w:sz w:val="22"/>
        </w:rPr>
        <w:t xml:space="preserve">Read-through to TEL: </w:t>
      </w:r>
      <w:r>
        <w:rPr>
          <w:rFonts w:ascii="Calibri" w:hAnsi="Calibri"/>
          <w:color w:val="525866"/>
          <w:sz w:val="22"/>
        </w:rPr>
        <w:t>3M's beat and raise is the strongest direct read-through for TEL's Q3 print. The organic growth acceleration (5.4% vs. 3.2% expected), industrial momentum, and successful pricing offset of oil/resin inflation all directly parallel TEL's Q3 setup. The auto softness is a mild negative read-through for TEL's Transportation segment, but TEL's content growth thesis (4–6% above market) should offset production headwinds. 3M's EBow optical data center commentary confirms the AI infrastructure investment cycle is intact.</w:t>
      </w:r>
    </w:p>
    <w:p>
      <w:r>
        <w:rPr>
          <w:rFonts w:ascii="Calibri" w:hAnsi="Calibri"/>
          <w:i/>
          <w:color w:val="525866"/>
          <w:sz w:val="22"/>
        </w:rPr>
        <w:t xml:space="preserve">Limitation: </w:t>
      </w:r>
      <w:r>
        <w:rPr>
          <w:rFonts w:ascii="Calibri" w:hAnsi="Calibri"/>
          <w:i/>
          <w:color w:val="525866"/>
          <w:sz w:val="22"/>
        </w:rPr>
        <w:t>3M's industrial mix (adhesives, safety, consumer) differs from TEL's (connectors, sensors, cable assemblies); the magnitude of the read-through may not be 1:1.</w:t>
      </w:r>
    </w:p>
    <w:p>
      <w:pPr>
        <w:pStyle w:val="Heading3"/>
      </w:pPr>
      <w:r>
        <w:rPr>
          <w:rFonts w:ascii="Calibri" w:hAnsi="Calibri"/>
          <w:b/>
          <w:color w:val="3B4259"/>
          <w:sz w:val="24"/>
        </w:rPr>
        <w:t>Flex (FLEX) — Bank of America Global Technology Conference, June 2, 2026</w:t>
      </w:r>
    </w:p>
    <w:p>
      <w:r>
        <w:rPr>
          <w:rFonts w:ascii="Calibri" w:hAnsi="Calibri"/>
          <w:b/>
          <w:color w:val="525866"/>
          <w:sz w:val="22"/>
        </w:rPr>
        <w:t xml:space="preserve">Sign: </w:t>
      </w:r>
      <w:r>
        <w:rPr>
          <w:rFonts w:ascii="Calibri" w:hAnsi="Calibri"/>
          <w:b/>
          <w:color w:val="30A46C"/>
          <w:sz w:val="22"/>
        </w:rPr>
        <w:t>Positive</w:t>
      </w:r>
    </w:p>
    <w:p>
      <w:r>
        <w:rPr>
          <w:rFonts w:ascii="Calibri" w:hAnsi="Calibri"/>
          <w:b/>
          <w:color w:val="525866"/>
          <w:sz w:val="22"/>
        </w:rPr>
        <w:t xml:space="preserve">Relevance to TEL: </w:t>
      </w:r>
      <w:r>
        <w:rPr>
          <w:rFonts w:ascii="Calibri" w:hAnsi="Calibri"/>
          <w:color w:val="525866"/>
          <w:sz w:val="22"/>
        </w:rPr>
        <w:t>Medium-High — Flex's SpinCo (AI infrastructure, power, cooling) and RemainCo (networking, energy infrastructure, capital equipment) have significant overlap with TEL's end markets.</w:t>
      </w:r>
    </w:p>
    <w:p>
      <w:pPr>
        <w:pStyle w:val="ListBullet"/>
        <w:ind w:left="360" w:hanging="360"/>
      </w:pPr>
      <w:r>
        <w:rPr>
          <w:rFonts w:ascii="Calibri" w:hAnsi="Calibri"/>
          <w:color w:val="525866"/>
          <w:sz w:val="22"/>
        </w:rPr>
        <w:t xml:space="preserve">SpinCo (AI infrastructure) revenue of $6.7B last year is projected to grow </w:t>
      </w:r>
      <w:r>
        <w:rPr>
          <w:rFonts w:ascii="Calibri" w:hAnsi="Calibri"/>
          <w:b/>
          <w:color w:val="525866"/>
          <w:sz w:val="22"/>
        </w:rPr>
        <w:t>~70% at the midpoint this year and ~80% next year</w:t>
      </w:r>
      <w:r>
        <w:rPr>
          <w:rFonts w:ascii="Calibri" w:hAnsi="Calibri"/>
          <w:color w:val="525866"/>
          <w:sz w:val="22"/>
        </w:rPr>
        <w:t>. FY2027 is "90% booked out" and FY2028 is "70% booked out."</w:t>
      </w:r>
    </w:p>
    <w:p>
      <w:pPr>
        <w:pStyle w:val="ListBullet"/>
        <w:ind w:left="360" w:hanging="360"/>
      </w:pPr>
      <w:r>
        <w:rPr>
          <w:rFonts w:ascii="Calibri" w:hAnsi="Calibri"/>
          <w:color w:val="525866"/>
          <w:sz w:val="22"/>
        </w:rPr>
        <w:t>CEO cited a "$2 trillion of backlog that these hyperscalers have," characterizing the industry as "long cycle" and "backlogged for the next 3 years in terms of compute infrastructure."</w:t>
      </w:r>
    </w:p>
    <w:p>
      <w:pPr>
        <w:pStyle w:val="ListBullet"/>
        <w:ind w:left="360" w:hanging="360"/>
      </w:pPr>
      <w:r>
        <w:rPr>
          <w:rFonts w:ascii="Calibri" w:hAnsi="Calibri"/>
          <w:color w:val="525866"/>
          <w:sz w:val="22"/>
        </w:rPr>
        <w:t>RemainCo's networking business ("high-speed switching, optical, and interface technologies") is "positively influenced by pull-through demand from the data center."</w:t>
      </w:r>
    </w:p>
    <w:p>
      <w:pPr>
        <w:pStyle w:val="ListBullet"/>
        <w:ind w:left="360" w:hanging="360"/>
      </w:pPr>
      <w:r>
        <w:rPr>
          <w:rFonts w:ascii="Calibri" w:hAnsi="Calibri"/>
          <w:color w:val="525866"/>
          <w:sz w:val="22"/>
        </w:rPr>
        <w:t>Industrial: "High-value markets have been and will continue to grow, no recovery necessary," driven by robotics and warehouse automation. Automotive: "stabilization period — not going backwards is actually going forward."</w:t>
      </w:r>
    </w:p>
    <w:p>
      <w:pPr>
        <w:pStyle w:val="ListBullet"/>
        <w:ind w:left="360" w:hanging="360"/>
      </w:pPr>
      <w:r>
        <w:rPr>
          <w:rFonts w:ascii="Calibri" w:hAnsi="Calibri"/>
          <w:color w:val="525866"/>
          <w:sz w:val="22"/>
        </w:rPr>
        <w:t>Power architecture: Flex is "#1 or #2 in most design cycles" for 400V/800V DC embedded power for "almost all hyperscalers," including NVIDIA. CapEx at ~3% of revenue with significant North America investments.</w:t>
      </w:r>
    </w:p>
    <w:p>
      <w:r>
        <w:rPr>
          <w:rFonts w:ascii="Calibri" w:hAnsi="Calibri"/>
          <w:b/>
          <w:color w:val="525866"/>
          <w:sz w:val="22"/>
        </w:rPr>
        <w:t xml:space="preserve">Read-through to TEL: </w:t>
      </w:r>
      <w:r>
        <w:rPr>
          <w:rFonts w:ascii="Calibri" w:hAnsi="Calibri"/>
          <w:color w:val="525866"/>
          <w:sz w:val="22"/>
        </w:rPr>
        <w:t>The "90% booked out" for FY2027 and "$2 trillion hyperscaler backlog" commentary provides the strongest external validation of TEL's multi-year AI revenue visibility. The explicit mention of optical in the networking business confirms the "copper AND optical" demand environment. Industrial characterization as "no recovery necessary" (i.e., already in growth mode) is consistent with TEL's automation inflection commentary.</w:t>
      </w:r>
    </w:p>
    <w:p>
      <w:r>
        <w:rPr>
          <w:rFonts w:ascii="Calibri" w:hAnsi="Calibri"/>
          <w:i/>
          <w:color w:val="525866"/>
          <w:sz w:val="22"/>
        </w:rPr>
        <w:t xml:space="preserve">Limitation: </w:t>
      </w:r>
      <w:r>
        <w:rPr>
          <w:rFonts w:ascii="Calibri" w:hAnsi="Calibri"/>
          <w:i/>
          <w:color w:val="525866"/>
          <w:sz w:val="22"/>
        </w:rPr>
        <w:t>Flex is an EMS provider; its booking visibility reflects customer commitments to Flex, not necessarily to TEL specifically.</w:t>
      </w:r>
    </w:p>
    <w:p>
      <w:pPr>
        <w:pStyle w:val="Heading3"/>
      </w:pPr>
      <w:r>
        <w:rPr>
          <w:rFonts w:ascii="Calibri" w:hAnsi="Calibri"/>
          <w:b/>
          <w:color w:val="3B4259"/>
          <w:sz w:val="24"/>
        </w:rPr>
        <w:t>CTS Corporation (CTS) — East Coast IDEAS Conference, June 11, 2026</w:t>
      </w:r>
    </w:p>
    <w:p>
      <w:r>
        <w:rPr>
          <w:rFonts w:ascii="Calibri" w:hAnsi="Calibri"/>
          <w:b/>
          <w:color w:val="525866"/>
          <w:sz w:val="22"/>
        </w:rPr>
        <w:t xml:space="preserve">Sign: </w:t>
      </w:r>
      <w:r>
        <w:rPr>
          <w:rFonts w:ascii="Calibri" w:hAnsi="Calibri"/>
          <w:b/>
          <w:color w:val="30A46C"/>
          <w:sz w:val="22"/>
        </w:rPr>
        <w:t>Positive (Industrial) / Mixed (Auto)</w:t>
      </w:r>
    </w:p>
    <w:p>
      <w:r>
        <w:rPr>
          <w:rFonts w:ascii="Calibri" w:hAnsi="Calibri"/>
          <w:b/>
          <w:color w:val="525866"/>
          <w:sz w:val="22"/>
        </w:rPr>
        <w:t xml:space="preserve">Relevance to TEL: </w:t>
      </w:r>
      <w:r>
        <w:rPr>
          <w:rFonts w:ascii="Calibri" w:hAnsi="Calibri"/>
          <w:color w:val="525866"/>
          <w:sz w:val="22"/>
        </w:rPr>
        <w:t>Medium — CTS is a smaller electronic components supplier with significant industrial and automotive exposure; its commentary provides a ground-level view of component demand trends.</w:t>
      </w:r>
    </w:p>
    <w:p>
      <w:pPr>
        <w:pStyle w:val="ListBullet"/>
        <w:ind w:left="360" w:hanging="360"/>
      </w:pPr>
      <w:r>
        <w:rPr>
          <w:rFonts w:ascii="Calibri" w:hAnsi="Calibri"/>
          <w:color w:val="525866"/>
          <w:sz w:val="22"/>
        </w:rPr>
        <w:t>Industrial: "For the last several quarters, we're back to solid growth here." Book-to-bill for industrial was "1.2–1.3 levels, so very strong." Management "feeling very good about how that sector is performing."</w:t>
      </w:r>
    </w:p>
    <w:p>
      <w:pPr>
        <w:pStyle w:val="ListBullet"/>
        <w:ind w:left="360" w:hanging="360"/>
      </w:pPr>
      <w:r>
        <w:rPr>
          <w:rFonts w:ascii="Calibri" w:hAnsi="Calibri"/>
          <w:color w:val="525866"/>
          <w:sz w:val="22"/>
        </w:rPr>
        <w:t>Automotive: Revenue "stabilized and returned to growth." Management would be "very pleased" with mid-single-digit auto growth given the current market. Powertrain-agnostic positioning.</w:t>
      </w:r>
    </w:p>
    <w:p>
      <w:pPr>
        <w:pStyle w:val="ListBullet"/>
        <w:ind w:left="360" w:hanging="360"/>
      </w:pPr>
      <w:r>
        <w:rPr>
          <w:rFonts w:ascii="Calibri" w:hAnsi="Calibri"/>
          <w:color w:val="525866"/>
          <w:sz w:val="22"/>
        </w:rPr>
        <w:t>Guidance raised: Lower end of revenue guidance raised to $560–$580M; EPS raised to $2.30–$2.35. "We feel good about the second quarter."</w:t>
      </w:r>
    </w:p>
    <w:p>
      <w:pPr>
        <w:pStyle w:val="ListBullet"/>
        <w:ind w:left="360" w:hanging="360"/>
      </w:pPr>
      <w:r>
        <w:rPr>
          <w:rFonts w:ascii="Calibri" w:hAnsi="Calibri"/>
          <w:color w:val="525866"/>
          <w:sz w:val="22"/>
        </w:rPr>
        <w:t>Macro caution: "Concerned about the second half of the year" due to geopolitical factors, consumer confidence, and inflation — though "not seeing anything that's concerning us" currently.</w:t>
      </w:r>
    </w:p>
    <w:p>
      <w:r>
        <w:rPr>
          <w:rFonts w:ascii="Calibri" w:hAnsi="Calibri"/>
          <w:b/>
          <w:color w:val="525866"/>
          <w:sz w:val="22"/>
        </w:rPr>
        <w:t xml:space="preserve">Read-through to TEL: </w:t>
      </w:r>
      <w:r>
        <w:rPr>
          <w:rFonts w:ascii="Calibri" w:hAnsi="Calibri"/>
          <w:color w:val="525866"/>
          <w:sz w:val="22"/>
        </w:rPr>
        <w:t>CTS's strong industrial book-to-bill (1.2–1.3x) is consistent with TEL's record 1.12x and supports the view that industrial demand is broadly healthy. The automotive stabilization commentary is consistent with TEL's own characterization of auto as "flat to slightly down" production with content growth offsetting volume headwinds.</w:t>
      </w:r>
    </w:p>
    <w:p>
      <w:r>
        <w:rPr>
          <w:rFonts w:ascii="Calibri" w:hAnsi="Calibri"/>
          <w:i/>
          <w:color w:val="525866"/>
          <w:sz w:val="22"/>
        </w:rPr>
        <w:t xml:space="preserve">Limitation: </w:t>
      </w:r>
      <w:r>
        <w:rPr>
          <w:rFonts w:ascii="Calibri" w:hAnsi="Calibri"/>
          <w:i/>
          <w:color w:val="525866"/>
          <w:sz w:val="22"/>
        </w:rPr>
        <w:t>CTS is a much smaller company with a different product mix (sensors, actuators, ceramics); the magnitude of read-through may not be 1:1.</w:t>
      </w:r>
    </w:p>
    <w:p>
      <w:pPr>
        <w:pStyle w:val="Heading2"/>
      </w:pPr>
      <w:r>
        <w:rPr>
          <w:rFonts w:ascii="Calibri" w:hAnsi="Calibri"/>
          <w:b/>
          <w:color w:val="3B4259"/>
          <w:sz w:val="28"/>
        </w:rPr>
        <w:t>8.3 Aerospace &amp; Defense</w:t>
      </w:r>
    </w:p>
    <w:p>
      <w:pPr>
        <w:pStyle w:val="Heading3"/>
      </w:pPr>
      <w:r>
        <w:rPr>
          <w:rFonts w:ascii="Calibri" w:hAnsi="Calibri"/>
          <w:b/>
          <w:color w:val="3B4259"/>
          <w:sz w:val="24"/>
        </w:rPr>
        <w:t>GE Aerospace (GE) — Q2 2026 Earnings Call, July 16, 2026</w:t>
      </w:r>
    </w:p>
    <w:p>
      <w:r>
        <w:rPr>
          <w:rFonts w:ascii="Calibri" w:hAnsi="Calibri"/>
          <w:b/>
          <w:color w:val="525866"/>
          <w:sz w:val="22"/>
        </w:rPr>
        <w:t xml:space="preserve">Sign: </w:t>
      </w:r>
      <w:r>
        <w:rPr>
          <w:rFonts w:ascii="Calibri" w:hAnsi="Calibri"/>
          <w:b/>
          <w:color w:val="30A46C"/>
          <w:sz w:val="22"/>
        </w:rPr>
        <w:t>Positive</w:t>
      </w:r>
    </w:p>
    <w:p>
      <w:r>
        <w:rPr>
          <w:rFonts w:ascii="Calibri" w:hAnsi="Calibri"/>
          <w:b/>
          <w:color w:val="525866"/>
          <w:sz w:val="22"/>
        </w:rPr>
        <w:t xml:space="preserve">Relevance to TEL: </w:t>
      </w:r>
      <w:r>
        <w:rPr>
          <w:rFonts w:ascii="Calibri" w:hAnsi="Calibri"/>
          <w:color w:val="525866"/>
          <w:sz w:val="22"/>
        </w:rPr>
        <w:t>Medium — GE Aerospace is a major customer for TEL's aerospace connectivity products; its demand commentary reflects the health of the commercial and defense aerospace end market.</w:t>
      </w:r>
    </w:p>
    <w:p>
      <w:pPr>
        <w:pStyle w:val="ListBullet"/>
        <w:ind w:left="360" w:hanging="360"/>
      </w:pPr>
      <w:r>
        <w:rPr>
          <w:rFonts w:ascii="Calibri" w:hAnsi="Calibri"/>
          <w:color w:val="525866"/>
          <w:sz w:val="22"/>
        </w:rPr>
        <w:t>GE Aerospace raised 2026 guidance "across the board": overall revenue to grow "high teens" (from "low double digits"), commercial services to grow "low 20s" (from "mid-teens"), commercial equipment to grow "~20%."</w:t>
      </w:r>
    </w:p>
    <w:p>
      <w:pPr>
        <w:pStyle w:val="ListBullet"/>
        <w:ind w:left="360" w:hanging="360"/>
      </w:pPr>
      <w:r>
        <w:rPr>
          <w:rFonts w:ascii="Calibri" w:hAnsi="Calibri"/>
          <w:color w:val="525866"/>
          <w:sz w:val="22"/>
        </w:rPr>
        <w:t>Commercial services backlog stands at ~$170B, up nearly $30B since end of 2024. Entering Q3 with "more than 95% of spare parts revenue in backlog."</w:t>
      </w:r>
    </w:p>
    <w:p>
      <w:pPr>
        <w:pStyle w:val="ListBullet"/>
        <w:ind w:left="360" w:hanging="360"/>
      </w:pPr>
      <w:r>
        <w:rPr>
          <w:rFonts w:ascii="Calibri" w:hAnsi="Calibri"/>
          <w:color w:val="525866"/>
          <w:sz w:val="22"/>
        </w:rPr>
        <w:t>Leap engine installed base "expected to more than double between now and 2030"; shop visits expected to "grow at ~25% CAGR from now till 2030."</w:t>
      </w:r>
    </w:p>
    <w:p>
      <w:pPr>
        <w:pStyle w:val="ListBullet"/>
        <w:ind w:left="360" w:hanging="360"/>
      </w:pPr>
      <w:r>
        <w:rPr>
          <w:rFonts w:ascii="Calibri" w:hAnsi="Calibri"/>
          <w:color w:val="525866"/>
          <w:sz w:val="22"/>
        </w:rPr>
        <w:t>Supply chain: "Back half, as we think about '27 and beyond, it's much more supply side challenge than it is demand." Actively working to reduce delinquent backlog.</w:t>
      </w:r>
    </w:p>
    <w:p>
      <w:pPr>
        <w:pStyle w:val="ListBullet"/>
        <w:ind w:left="360" w:hanging="360"/>
      </w:pPr>
      <w:r>
        <w:rPr>
          <w:rFonts w:ascii="Calibri" w:hAnsi="Calibri"/>
          <w:color w:val="525866"/>
          <w:sz w:val="22"/>
        </w:rPr>
        <w:t>Hybrid electric: GE completed a ground test for its megawatt-class hybrid electric demonstrator; expects "electrification and hybrid electric to be a more important part of our portfolio as we move forward."</w:t>
      </w:r>
    </w:p>
    <w:p>
      <w:r>
        <w:rPr>
          <w:rFonts w:ascii="Calibri" w:hAnsi="Calibri"/>
          <w:b/>
          <w:color w:val="525866"/>
          <w:sz w:val="22"/>
        </w:rPr>
        <w:t xml:space="preserve">Read-through to TEL: </w:t>
      </w:r>
      <w:r>
        <w:rPr>
          <w:rFonts w:ascii="Calibri" w:hAnsi="Calibri"/>
          <w:color w:val="525866"/>
          <w:sz w:val="22"/>
        </w:rPr>
        <w:t>GE Aerospace's broad-based guidance raise and massive commercial services backlog confirm that aerospace demand is robust and durable through at least 2030. The supply-side constraint characterization (demand is not the issue) is positive for TEL as a component supplier — it suggests pricing power and stable volumes. The hybrid electric development is a longer-term positive for TEL's aerospace connectivity content.</w:t>
      </w:r>
    </w:p>
    <w:p>
      <w:r>
        <w:rPr>
          <w:rFonts w:ascii="Calibri" w:hAnsi="Calibri"/>
          <w:i/>
          <w:color w:val="525866"/>
          <w:sz w:val="22"/>
        </w:rPr>
        <w:t xml:space="preserve">Limitation: </w:t>
      </w:r>
      <w:r>
        <w:rPr>
          <w:rFonts w:ascii="Calibri" w:hAnsi="Calibri"/>
          <w:i/>
          <w:color w:val="525866"/>
          <w:sz w:val="22"/>
        </w:rPr>
        <w:t>GE Aerospace's commentary is specific to its engine and services business; TEL's aerospace products (connectors, sensors) may have different growth dynamics than engine sales.</w:t>
      </w:r>
    </w:p>
    <w:p>
      <w:pPr>
        <w:pStyle w:val="Heading2"/>
      </w:pPr>
      <w:r>
        <w:rPr>
          <w:rFonts w:ascii="Calibri" w:hAnsi="Calibri"/>
          <w:b/>
          <w:color w:val="3B4259"/>
          <w:sz w:val="28"/>
        </w:rPr>
        <w:t>8.4 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Context</w:t>
            </w:r>
          </w:p>
        </w:tc>
        <w:tc>
          <w:tcPr>
            <w:tcW w:type="dxa" w:w="1440"/>
            <w:shd w:val="clear" w:color="auto" w:fill="3B4259"/>
          </w:tcPr>
          <w:p>
            <w:r>
              <w:rPr>
                <w:rFonts w:ascii="Calibri" w:hAnsi="Calibri"/>
                <w:b/>
                <w:color w:val="FFFFFF"/>
                <w:sz w:val="22"/>
              </w:rPr>
              <w:t>Key Signal for TEL</w:t>
            </w:r>
          </w:p>
        </w:tc>
        <w:tc>
          <w:tcPr>
            <w:tcW w:type="dxa" w:w="1440"/>
            <w:shd w:val="clear" w:color="auto" w:fill="3B4259"/>
          </w:tcPr>
          <w:p>
            <w:r>
              <w:rPr>
                <w:rFonts w:ascii="Calibri" w:hAnsi="Calibri"/>
                <w:b/>
                <w:color w:val="FFFFFF"/>
                <w:sz w:val="22"/>
              </w:rPr>
              <w:t>Sign</w:t>
            </w:r>
          </w:p>
        </w:tc>
        <w:tc>
          <w:tcPr>
            <w:tcW w:type="dxa" w:w="1440"/>
            <w:shd w:val="clear" w:color="auto" w:fill="3B4259"/>
          </w:tcPr>
          <w:p>
            <w:r>
              <w:rPr>
                <w:rFonts w:ascii="Calibri" w:hAnsi="Calibri"/>
                <w:b/>
                <w:color w:val="FFFFFF"/>
                <w:sz w:val="22"/>
              </w:rPr>
              <w:t>Relevance</w:t>
            </w:r>
          </w:p>
        </w:tc>
      </w:tr>
      <w:tr>
        <w:tc>
          <w:tcPr>
            <w:tcW w:type="dxa" w:w="1440"/>
          </w:tcPr>
          <w:p>
            <w:r>
              <w:rPr>
                <w:rFonts w:ascii="Calibri" w:hAnsi="Calibri"/>
                <w:sz w:val="22"/>
              </w:rPr>
              <w:t>Broadcom (AVGO)</w:t>
            </w:r>
          </w:p>
        </w:tc>
        <w:tc>
          <w:tcPr>
            <w:tcW w:type="dxa" w:w="1440"/>
          </w:tcPr>
          <w:p>
            <w:r>
              <w:rPr>
                <w:rFonts w:ascii="Calibri" w:hAnsi="Calibri"/>
                <w:sz w:val="22"/>
              </w:rPr>
              <w:t>Jun 3, 2026</w:t>
            </w:r>
          </w:p>
        </w:tc>
        <w:tc>
          <w:tcPr>
            <w:tcW w:type="dxa" w:w="1440"/>
          </w:tcPr>
          <w:p>
            <w:r>
              <w:rPr>
                <w:rFonts w:ascii="Calibri" w:hAnsi="Calibri"/>
                <w:sz w:val="22"/>
              </w:rPr>
              <w:t>Q2 FY2026 Earnings</w:t>
            </w:r>
          </w:p>
        </w:tc>
        <w:tc>
          <w:tcPr>
            <w:tcW w:type="dxa" w:w="1440"/>
          </w:tcPr>
          <w:p>
            <w:r>
              <w:rPr>
                <w:rFonts w:ascii="Calibri" w:hAnsi="Calibri"/>
                <w:sz w:val="22"/>
              </w:rPr>
              <w:t>AI demand "insatiable"; Q3 AI semi revenue ~$16B (+200% YoY); multi-GW hyperscaler commitments through 2029; copper connectors explicitly cited</w:t>
            </w:r>
          </w:p>
        </w:tc>
        <w:tc>
          <w:tcPr>
            <w:tcW w:type="dxa" w:w="1440"/>
          </w:tcPr>
          <w:p>
            <w:r>
              <w:rPr>
                <w:rFonts w:ascii="Calibri" w:hAnsi="Calibri"/>
                <w:b/>
                <w:color w:val="30A46C"/>
                <w:sz w:val="22"/>
              </w:rPr>
              <w:t>Strongly Positive</w:t>
            </w:r>
          </w:p>
        </w:tc>
        <w:tc>
          <w:tcPr>
            <w:tcW w:type="dxa" w:w="1440"/>
          </w:tcPr>
          <w:p>
            <w:r>
              <w:rPr>
                <w:rFonts w:ascii="Calibri" w:hAnsi="Calibri"/>
                <w:sz w:val="22"/>
              </w:rPr>
              <w:t>High</w:t>
            </w:r>
          </w:p>
        </w:tc>
      </w:tr>
      <w:tr>
        <w:tc>
          <w:tcPr>
            <w:tcW w:type="dxa" w:w="1440"/>
          </w:tcPr>
          <w:p>
            <w:r>
              <w:rPr>
                <w:rFonts w:ascii="Calibri" w:hAnsi="Calibri"/>
                <w:sz w:val="22"/>
              </w:rPr>
              <w:t>Jabil (JBL)</w:t>
            </w:r>
          </w:p>
        </w:tc>
        <w:tc>
          <w:tcPr>
            <w:tcW w:type="dxa" w:w="1440"/>
          </w:tcPr>
          <w:p>
            <w:r>
              <w:rPr>
                <w:rFonts w:ascii="Calibri" w:hAnsi="Calibri"/>
                <w:sz w:val="22"/>
              </w:rPr>
              <w:t>Jun 17, 2026</w:t>
            </w:r>
          </w:p>
        </w:tc>
        <w:tc>
          <w:tcPr>
            <w:tcW w:type="dxa" w:w="1440"/>
          </w:tcPr>
          <w:p>
            <w:r>
              <w:rPr>
                <w:rFonts w:ascii="Calibri" w:hAnsi="Calibri"/>
                <w:sz w:val="22"/>
              </w:rPr>
              <w:t>Q3 FY2026 Earnings</w:t>
            </w:r>
          </w:p>
        </w:tc>
        <w:tc>
          <w:tcPr>
            <w:tcW w:type="dxa" w:w="1440"/>
          </w:tcPr>
          <w:p>
            <w:r>
              <w:rPr>
                <w:rFonts w:ascii="Calibri" w:hAnsi="Calibri"/>
                <w:sz w:val="22"/>
              </w:rPr>
              <w:t>FY2026 AI revenue raised to $13.6B (+$500M); FY2027 growth "similar to FY26"; networking/silicon photonics growing; high-density PCBs in high demand with extending lead times</w:t>
            </w:r>
          </w:p>
        </w:tc>
        <w:tc>
          <w:tcPr>
            <w:tcW w:type="dxa" w:w="1440"/>
          </w:tcPr>
          <w:p>
            <w:r>
              <w:rPr>
                <w:rFonts w:ascii="Calibri" w:hAnsi="Calibri"/>
                <w:b/>
                <w:color w:val="30A46C"/>
                <w:sz w:val="22"/>
              </w:rPr>
              <w:t>Very Positive</w:t>
            </w:r>
          </w:p>
        </w:tc>
        <w:tc>
          <w:tcPr>
            <w:tcW w:type="dxa" w:w="1440"/>
          </w:tcPr>
          <w:p>
            <w:r>
              <w:rPr>
                <w:rFonts w:ascii="Calibri" w:hAnsi="Calibri"/>
                <w:sz w:val="22"/>
              </w:rPr>
              <w:t>High</w:t>
            </w:r>
          </w:p>
        </w:tc>
      </w:tr>
      <w:tr>
        <w:tc>
          <w:tcPr>
            <w:tcW w:type="dxa" w:w="1440"/>
          </w:tcPr>
          <w:p>
            <w:r>
              <w:rPr>
                <w:rFonts w:ascii="Calibri" w:hAnsi="Calibri"/>
                <w:sz w:val="22"/>
              </w:rPr>
              <w:t>3M (MMM)</w:t>
            </w:r>
          </w:p>
        </w:tc>
        <w:tc>
          <w:tcPr>
            <w:tcW w:type="dxa" w:w="1440"/>
          </w:tcPr>
          <w:p>
            <w:r>
              <w:rPr>
                <w:rFonts w:ascii="Calibri" w:hAnsi="Calibri"/>
                <w:sz w:val="22"/>
              </w:rPr>
              <w:t>Jul 21, 2026</w:t>
            </w:r>
          </w:p>
        </w:tc>
        <w:tc>
          <w:tcPr>
            <w:tcW w:type="dxa" w:w="1440"/>
          </w:tcPr>
          <w:p>
            <w:r>
              <w:rPr>
                <w:rFonts w:ascii="Calibri" w:hAnsi="Calibri"/>
                <w:sz w:val="22"/>
              </w:rPr>
              <w:t>Q2 2026 Earnings</w:t>
            </w:r>
          </w:p>
        </w:tc>
        <w:tc>
          <w:tcPr>
            <w:tcW w:type="dxa" w:w="1440"/>
          </w:tcPr>
          <w:p>
            <w:r>
              <w:rPr>
                <w:rFonts w:ascii="Calibri" w:hAnsi="Calibri"/>
                <w:sz w:val="22"/>
              </w:rPr>
              <w:t>5.4% organic growth vs. 3.2% expected; industrial momentum strong; oil inflation offset by pricing; auto still down YoY in 2H; EBow optical data center revenue growing</w:t>
            </w:r>
          </w:p>
        </w:tc>
        <w:tc>
          <w:tcPr>
            <w:tcW w:type="dxa" w:w="1440"/>
          </w:tcPr>
          <w:p>
            <w:r>
              <w:rPr>
                <w:rFonts w:ascii="Calibri" w:hAnsi="Calibri"/>
                <w:b/>
                <w:color w:val="30A46C"/>
                <w:sz w:val="22"/>
              </w:rPr>
              <w:t>Positive / Cautionary (Auto)</w:t>
            </w:r>
          </w:p>
        </w:tc>
        <w:tc>
          <w:tcPr>
            <w:tcW w:type="dxa" w:w="1440"/>
          </w:tcPr>
          <w:p>
            <w:r>
              <w:rPr>
                <w:rFonts w:ascii="Calibri" w:hAnsi="Calibri"/>
                <w:sz w:val="22"/>
              </w:rPr>
              <w:t>High</w:t>
            </w:r>
          </w:p>
        </w:tc>
      </w:tr>
      <w:tr>
        <w:tc>
          <w:tcPr>
            <w:tcW w:type="dxa" w:w="1440"/>
          </w:tcPr>
          <w:p>
            <w:r>
              <w:rPr>
                <w:rFonts w:ascii="Calibri" w:hAnsi="Calibri"/>
                <w:sz w:val="22"/>
              </w:rPr>
              <w:t>GE Aerospace (GE)</w:t>
            </w:r>
          </w:p>
        </w:tc>
        <w:tc>
          <w:tcPr>
            <w:tcW w:type="dxa" w:w="1440"/>
          </w:tcPr>
          <w:p>
            <w:r>
              <w:rPr>
                <w:rFonts w:ascii="Calibri" w:hAnsi="Calibri"/>
                <w:sz w:val="22"/>
              </w:rPr>
              <w:t>Jul 16, 2026</w:t>
            </w:r>
          </w:p>
        </w:tc>
        <w:tc>
          <w:tcPr>
            <w:tcW w:type="dxa" w:w="1440"/>
          </w:tcPr>
          <w:p>
            <w:r>
              <w:rPr>
                <w:rFonts w:ascii="Calibri" w:hAnsi="Calibri"/>
                <w:sz w:val="22"/>
              </w:rPr>
              <w:t>Q2 2026 Earnings</w:t>
            </w:r>
          </w:p>
        </w:tc>
        <w:tc>
          <w:tcPr>
            <w:tcW w:type="dxa" w:w="1440"/>
          </w:tcPr>
          <w:p>
            <w:r>
              <w:rPr>
                <w:rFonts w:ascii="Calibri" w:hAnsi="Calibri"/>
                <w:sz w:val="22"/>
              </w:rPr>
              <w:t>Guidance raised across the board; $170B commercial services backlog; supply-side (not demand) is the constraint; hybrid electric development ongoing</w:t>
            </w:r>
          </w:p>
        </w:tc>
        <w:tc>
          <w:tcPr>
            <w:tcW w:type="dxa" w:w="1440"/>
          </w:tcPr>
          <w:p>
            <w:r>
              <w:rPr>
                <w:rFonts w:ascii="Calibri" w:hAnsi="Calibri"/>
                <w:b/>
                <w:color w:val="30A46C"/>
                <w:sz w:val="22"/>
              </w:rPr>
              <w:t>Positive</w:t>
            </w:r>
          </w:p>
        </w:tc>
        <w:tc>
          <w:tcPr>
            <w:tcW w:type="dxa" w:w="1440"/>
          </w:tcPr>
          <w:p>
            <w:r>
              <w:rPr>
                <w:rFonts w:ascii="Calibri" w:hAnsi="Calibri"/>
                <w:sz w:val="22"/>
              </w:rPr>
              <w:t>Medium</w:t>
            </w:r>
          </w:p>
        </w:tc>
      </w:tr>
      <w:tr>
        <w:tc>
          <w:tcPr>
            <w:tcW w:type="dxa" w:w="1440"/>
          </w:tcPr>
          <w:p>
            <w:r>
              <w:rPr>
                <w:rFonts w:ascii="Calibri" w:hAnsi="Calibri"/>
                <w:sz w:val="22"/>
              </w:rPr>
              <w:t>Flex (FLEX)</w:t>
            </w:r>
          </w:p>
        </w:tc>
        <w:tc>
          <w:tcPr>
            <w:tcW w:type="dxa" w:w="1440"/>
          </w:tcPr>
          <w:p>
            <w:r>
              <w:rPr>
                <w:rFonts w:ascii="Calibri" w:hAnsi="Calibri"/>
                <w:sz w:val="22"/>
              </w:rPr>
              <w:t>Jun 2, 2026</w:t>
            </w:r>
          </w:p>
        </w:tc>
        <w:tc>
          <w:tcPr>
            <w:tcW w:type="dxa" w:w="1440"/>
          </w:tcPr>
          <w:p>
            <w:r>
              <w:rPr>
                <w:rFonts w:ascii="Calibri" w:hAnsi="Calibri"/>
                <w:sz w:val="22"/>
              </w:rPr>
              <w:t>BofA Tech Conference</w:t>
            </w:r>
          </w:p>
        </w:tc>
        <w:tc>
          <w:tcPr>
            <w:tcW w:type="dxa" w:w="1440"/>
          </w:tcPr>
          <w:p>
            <w:r>
              <w:rPr>
                <w:rFonts w:ascii="Calibri" w:hAnsi="Calibri"/>
                <w:sz w:val="22"/>
              </w:rPr>
              <w:t>FY2027 "90% booked out"; $2T hyperscaler backlog; industrial "no recovery necessary"; auto "stabilizing"</w:t>
            </w:r>
          </w:p>
        </w:tc>
        <w:tc>
          <w:tcPr>
            <w:tcW w:type="dxa" w:w="1440"/>
          </w:tcPr>
          <w:p>
            <w:r>
              <w:rPr>
                <w:rFonts w:ascii="Calibri" w:hAnsi="Calibri"/>
                <w:b/>
                <w:color w:val="30A46C"/>
                <w:sz w:val="22"/>
              </w:rPr>
              <w:t>Positive</w:t>
            </w:r>
          </w:p>
        </w:tc>
        <w:tc>
          <w:tcPr>
            <w:tcW w:type="dxa" w:w="1440"/>
          </w:tcPr>
          <w:p>
            <w:r>
              <w:rPr>
                <w:rFonts w:ascii="Calibri" w:hAnsi="Calibri"/>
                <w:sz w:val="22"/>
              </w:rPr>
              <w:t>Medium-High</w:t>
            </w:r>
          </w:p>
        </w:tc>
      </w:tr>
      <w:tr>
        <w:tc>
          <w:tcPr>
            <w:tcW w:type="dxa" w:w="1440"/>
          </w:tcPr>
          <w:p>
            <w:r>
              <w:rPr>
                <w:rFonts w:ascii="Calibri" w:hAnsi="Calibri"/>
                <w:sz w:val="22"/>
              </w:rPr>
              <w:t>Corning (GLW)</w:t>
            </w:r>
          </w:p>
        </w:tc>
        <w:tc>
          <w:tcPr>
            <w:tcW w:type="dxa" w:w="1440"/>
          </w:tcPr>
          <w:p>
            <w:r>
              <w:rPr>
                <w:rFonts w:ascii="Calibri" w:hAnsi="Calibri"/>
                <w:sz w:val="22"/>
              </w:rPr>
              <w:t>Jun 8, 2026</w:t>
            </w:r>
          </w:p>
        </w:tc>
        <w:tc>
          <w:tcPr>
            <w:tcW w:type="dxa" w:w="1440"/>
          </w:tcPr>
          <w:p>
            <w:r>
              <w:rPr>
                <w:rFonts w:ascii="Calibri" w:hAnsi="Calibri"/>
                <w:sz w:val="22"/>
              </w:rPr>
              <w:t>Amazon Deal Announcement</w:t>
            </w:r>
          </w:p>
        </w:tc>
        <w:tc>
          <w:tcPr>
            <w:tcW w:type="dxa" w:w="1440"/>
          </w:tcPr>
          <w:p>
            <w:r>
              <w:rPr>
                <w:rFonts w:ascii="Calibri" w:hAnsi="Calibri"/>
                <w:sz w:val="22"/>
              </w:rPr>
              <w:t>Multi-billion dollar Amazon optical fiber deal (following Meta, Nvidia); validates optical demand in AI data centers</w:t>
            </w:r>
          </w:p>
        </w:tc>
        <w:tc>
          <w:tcPr>
            <w:tcW w:type="dxa" w:w="1440"/>
          </w:tcPr>
          <w:p>
            <w:r>
              <w:rPr>
                <w:rFonts w:ascii="Calibri" w:hAnsi="Calibri"/>
                <w:b/>
                <w:color w:val="30A46C"/>
                <w:sz w:val="22"/>
              </w:rPr>
              <w:t>Positive</w:t>
            </w:r>
          </w:p>
        </w:tc>
        <w:tc>
          <w:tcPr>
            <w:tcW w:type="dxa" w:w="1440"/>
          </w:tcPr>
          <w:p>
            <w:r>
              <w:rPr>
                <w:rFonts w:ascii="Calibri" w:hAnsi="Calibri"/>
                <w:sz w:val="22"/>
              </w:rPr>
              <w:t>Medium</w:t>
            </w:r>
          </w:p>
        </w:tc>
      </w:tr>
      <w:tr>
        <w:tc>
          <w:tcPr>
            <w:tcW w:type="dxa" w:w="1440"/>
          </w:tcPr>
          <w:p>
            <w:r>
              <w:rPr>
                <w:rFonts w:ascii="Calibri" w:hAnsi="Calibri"/>
                <w:sz w:val="22"/>
              </w:rPr>
              <w:t>Vicor (VICR)</w:t>
            </w:r>
          </w:p>
        </w:tc>
        <w:tc>
          <w:tcPr>
            <w:tcW w:type="dxa" w:w="1440"/>
          </w:tcPr>
          <w:p>
            <w:r>
              <w:rPr>
                <w:rFonts w:ascii="Calibri" w:hAnsi="Calibri"/>
                <w:sz w:val="22"/>
              </w:rPr>
              <w:t>Jul 21, 2026</w:t>
            </w:r>
          </w:p>
        </w:tc>
        <w:tc>
          <w:tcPr>
            <w:tcW w:type="dxa" w:w="1440"/>
          </w:tcPr>
          <w:p>
            <w:r>
              <w:rPr>
                <w:rFonts w:ascii="Calibri" w:hAnsi="Calibri"/>
                <w:sz w:val="22"/>
              </w:rPr>
              <w:t>Q2 2026 Earnings</w:t>
            </w:r>
          </w:p>
        </w:tc>
        <w:tc>
          <w:tcPr>
            <w:tcW w:type="dxa" w:w="1440"/>
          </w:tcPr>
          <w:p>
            <w:r>
              <w:rPr>
                <w:rFonts w:ascii="Calibri" w:hAnsi="Calibri"/>
                <w:sz w:val="22"/>
              </w:rPr>
              <w:t>Book-to-bill above 1; backlog +26% QoQ; "no weakness going forward"; HPC, industrial, A&amp;D all strong; lead times stretching</w:t>
            </w:r>
          </w:p>
        </w:tc>
        <w:tc>
          <w:tcPr>
            <w:tcW w:type="dxa" w:w="1440"/>
          </w:tcPr>
          <w:p>
            <w:r>
              <w:rPr>
                <w:rFonts w:ascii="Calibri" w:hAnsi="Calibri"/>
                <w:b/>
                <w:color w:val="30A46C"/>
                <w:sz w:val="22"/>
              </w:rPr>
              <w:t>Positive</w:t>
            </w:r>
          </w:p>
        </w:tc>
        <w:tc>
          <w:tcPr>
            <w:tcW w:type="dxa" w:w="1440"/>
          </w:tcPr>
          <w:p>
            <w:r>
              <w:rPr>
                <w:rFonts w:ascii="Calibri" w:hAnsi="Calibri"/>
                <w:sz w:val="22"/>
              </w:rPr>
              <w:t>Medium</w:t>
            </w:r>
          </w:p>
        </w:tc>
      </w:tr>
      <w:tr>
        <w:tc>
          <w:tcPr>
            <w:tcW w:type="dxa" w:w="1440"/>
          </w:tcPr>
          <w:p>
            <w:r>
              <w:rPr>
                <w:rFonts w:ascii="Calibri" w:hAnsi="Calibri"/>
                <w:sz w:val="22"/>
              </w:rPr>
              <w:t>CTS Corp (CTS)</w:t>
            </w:r>
          </w:p>
        </w:tc>
        <w:tc>
          <w:tcPr>
            <w:tcW w:type="dxa" w:w="1440"/>
          </w:tcPr>
          <w:p>
            <w:r>
              <w:rPr>
                <w:rFonts w:ascii="Calibri" w:hAnsi="Calibri"/>
                <w:sz w:val="22"/>
              </w:rPr>
              <w:t>Jun 11, 2026</w:t>
            </w:r>
          </w:p>
        </w:tc>
        <w:tc>
          <w:tcPr>
            <w:tcW w:type="dxa" w:w="1440"/>
          </w:tcPr>
          <w:p>
            <w:r>
              <w:rPr>
                <w:rFonts w:ascii="Calibri" w:hAnsi="Calibri"/>
                <w:sz w:val="22"/>
              </w:rPr>
              <w:t>IDEAS Conference</w:t>
            </w:r>
          </w:p>
        </w:tc>
        <w:tc>
          <w:tcPr>
            <w:tcW w:type="dxa" w:w="1440"/>
          </w:tcPr>
          <w:p>
            <w:r>
              <w:rPr>
                <w:rFonts w:ascii="Calibri" w:hAnsi="Calibri"/>
                <w:sz w:val="22"/>
              </w:rPr>
              <w:t>Industrial book-to-bill 1.2–1.3x; auto stabilized and returning to growth; guidance raised; macro caution for 2H</w:t>
            </w:r>
          </w:p>
        </w:tc>
        <w:tc>
          <w:tcPr>
            <w:tcW w:type="dxa" w:w="1440"/>
          </w:tcPr>
          <w:p>
            <w:r>
              <w:rPr>
                <w:rFonts w:ascii="Calibri" w:hAnsi="Calibri"/>
                <w:b/>
                <w:color w:val="30A46C"/>
                <w:sz w:val="22"/>
              </w:rPr>
              <w:t>Positive / Mixed</w:t>
            </w:r>
          </w:p>
        </w:tc>
        <w:tc>
          <w:tcPr>
            <w:tcW w:type="dxa" w:w="1440"/>
          </w:tcPr>
          <w:p>
            <w:r>
              <w:rPr>
                <w:rFonts w:ascii="Calibri" w:hAnsi="Calibri"/>
                <w:sz w:val="22"/>
              </w:rPr>
              <w:t>Medium</w:t>
            </w:r>
          </w:p>
        </w:tc>
      </w:tr>
    </w:tbl>
    <w:p>
      <w:r>
        <w:rPr>
          <w:rFonts w:ascii="Calibri" w:hAnsi="Calibri"/>
          <w:b/>
          <w:color w:val="525866"/>
          <w:sz w:val="22"/>
        </w:rPr>
        <w:t xml:space="preserve">Overall Peer Read-Through Assessment: </w:t>
      </w:r>
      <w:r>
        <w:rPr>
          <w:rFonts w:ascii="Calibri" w:hAnsi="Calibri"/>
          <w:color w:val="525866"/>
          <w:sz w:val="22"/>
        </w:rPr>
        <w:t xml:space="preserve">The weight of peer evidence from May 22 – July 21, 2026 is </w:t>
      </w:r>
      <w:r>
        <w:rPr>
          <w:rFonts w:ascii="Calibri" w:hAnsi="Calibri"/>
          <w:b/>
          <w:color w:val="525866"/>
          <w:sz w:val="22"/>
        </w:rPr>
        <w:t>broadly positive for TEL's Q3 FY2026 print</w:t>
      </w:r>
      <w:r>
        <w:rPr>
          <w:rFonts w:ascii="Calibri" w:hAnsi="Calibri"/>
          <w:color w:val="525866"/>
          <w:sz w:val="22"/>
        </w:rPr>
        <w:t>. AI/data center demand is accelerating (Broadcom, Jabil), industrial is in recovery (3M, CTS, Flex), aerospace is robust (GE Aerospace), and the optical demand environment validates TEL's RAM Photonics acquisition (Corning). The only cautionary signal is 3M's characterization of auto build rates as still expected to be down YoY in 2H 2026, which is consistent with TEL's own guidance but a reminder that the Transportation segment's growth will need to come from content rather than volume. The convergence of multiple peers raising guidance or reporting above-consensus results in the weeks immediately before TEL's print is a constructive setup.</w:t>
      </w:r>
    </w:p>
    <w:p>
      <w:r>
        <w:rPr>
          <w:rFonts w:ascii="Calibri" w:hAnsi="Calibri"/>
          <w:i/>
          <w:color w:val="525866"/>
          <w:sz w:val="22"/>
        </w:rPr>
        <w:t xml:space="preserve">Excluded from this section: </w:t>
      </w:r>
      <w:r>
        <w:rPr>
          <w:rFonts w:ascii="Calibri" w:hAnsi="Calibri"/>
          <w:i/>
          <w:color w:val="525866"/>
          <w:sz w:val="22"/>
        </w:rPr>
        <w:t>Prior-quarter results commentary (e.g., companies discussing their own Q1 FY2026 results on Q1 earnings calls) was excluded per the methodology. Only commentary explicitly discussing the speaker's then-current or forward reporting period (i.e., made after the speaker's own last earnings call and discussing future quarters) is included.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