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Thermo Fisher Scientific (TMO) to build a well-informed earnings preview. Let me gather recent data in parallel.Let me read the most recent earnings materials and the year-ago Q2 for comparison.Let me get the year-ago Q2 2025 release for comparison base and recent news/analyst sentiment.Let me get analyst consensus and recent TMO-specific news via web search.# Thermo Fisher Scientific (TMO) — Q2 2026 Earnings Preview</w:t>
      </w:r>
    </w:p>
    <w:bookmarkStart w:id="9" w:name="X97d66a7818e4eb751ebf5ceabbe264b043ecaff"/>
    <w:p>
      <w:pPr>
        <w:pStyle w:val="Heading3"/>
      </w:pPr>
      <w:r>
        <w:t xml:space="preserve">Reports Thursday, July 23, 2026 (before market open); conference call 8:30 a.m. ET</w:t>
      </w:r>
    </w:p>
    <w:p>
      <w:r>
        <w:pict>
          <v:rect style="width:0;height:1.5pt" o:hralign="center" o:hrstd="t" o:hr="t"/>
        </w:pict>
      </w:r>
    </w:p>
    <w:bookmarkEnd w:id="9"/>
    <w:bookmarkStart w:id="10" w:name="X3402d9c76ffae7a850f2cd6b05207279d476a9a"/>
    <w:p>
      <w:pPr>
        <w:pStyle w:val="Heading2"/>
      </w:pPr>
      <w:r>
        <w:t xml:space="preserve">The one thing that matters: can the second-half ramp survive a jittery tape?</w:t>
      </w:r>
    </w:p>
    <w:p>
      <w:pPr>
        <w:pStyle w:val="FirstParagraph"/>
      </w:pPr>
      <w:r>
        <w:t xml:space="preserve">TMO enters this print with a "prove-it" setup. Management's full-year 2026 plan requires organic growth to accelerate from just</w:t>
      </w:r>
      <w:r>
        <w:t xml:space="preserve"> </w:t>
      </w:r>
      <w:r>
        <w:rPr>
          <w:b/>
          <w:bCs/>
        </w:rPr>
        <w:t xml:space="preserve">1% in Q1</w:t>
      </w:r>
      <w:r>
        <w:t xml:space="preserve"> </w:t>
      </w:r>
      <w:r>
        <w:t xml:space="preserve">toward a</w:t>
      </w:r>
      <w:r>
        <w:t xml:space="preserve"> </w:t>
      </w:r>
      <w:r>
        <w:rPr>
          <w:b/>
          <w:bCs/>
        </w:rPr>
        <w:t xml:space="preserve">mid-single-digit exit rate</w:t>
      </w:r>
      <w:r>
        <w:t xml:space="preserve">, and the Street spent all spring worrying about that ramp. On the Q1 call, the very first analyst question (BofA's Mike Ryskin) pressed management to defend the acceleration; Marc Casper's answer was that the step-up is driven by</w:t>
      </w:r>
      <w:r>
        <w:t xml:space="preserve"> </w:t>
      </w:r>
      <w:r>
        <w:rPr>
          <w:i/>
          <w:iCs/>
        </w:rPr>
        <w:t xml:space="preserve">mechanical</w:t>
      </w:r>
      <w:r>
        <w:t xml:space="preserve"> </w:t>
      </w:r>
      <w:r>
        <w:t xml:space="preserve">factors — selling-day comparisons, an easier Analytical Instruments comp, and pharma-services revenue phasing —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an assumed improvement in underlying market conditions.</w:t>
      </w:r>
    </w:p>
    <w:p>
      <w:pPr>
        <w:pStyle w:val="BodyText"/>
      </w:pPr>
      <w:r>
        <w:t xml:space="preserve">That debate got significantly hotter</w:t>
      </w:r>
      <w:r>
        <w:t xml:space="preserve"> </w:t>
      </w:r>
      <w:r>
        <w:rPr>
          <w:b/>
          <w:bCs/>
        </w:rPr>
        <w:t xml:space="preserve">two days ago</w:t>
      </w:r>
      <w:r>
        <w:t xml:space="preserve">. On July 21,</w:t>
      </w:r>
      <w:r>
        <w:t xml:space="preserve"> </w:t>
      </w:r>
      <w:r>
        <w:rPr>
          <w:b/>
          <w:bCs/>
        </w:rPr>
        <w:t xml:space="preserve">Danaher — TMO's closest large-cap tools/diagnostics peer — beat on Q2 EPS (</w:t>
      </w:r>
      <m:oMath>
        <m:r>
          <m:t>1.94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rPr>
          <w:b/>
          <w:bCs/>
        </w:rPr>
        <w:t xml:space="preserve">1.84) and revenue ($6.26B), raised full-year EPS, but narrowed/softened its core-growth outlook and guided Q3 core revenue to only ~2–3%.</w:t>
      </w:r>
      <w:r>
        <w:t xml:space="preserve"> </w:t>
      </w:r>
      <w:r>
        <w:t xml:space="preserve">The stock fell ~11–14%, its worst day in decades, and dragged other life-sciences names lower. The read-through is blunt:</w:t>
      </w:r>
      <w:r>
        <w:t xml:space="preserve"> </w:t>
      </w:r>
      <w:r>
        <w:rPr>
          <w:b/>
          <w:bCs/>
        </w:rPr>
        <w:t xml:space="preserve">the market is currently punishing "beat-and-hold" prints where the second-half reacceleration gets pushed out.</w:t>
      </w:r>
      <w:r>
        <w:t xml:space="preserve"> </w:t>
      </w:r>
      <w:r>
        <w:t xml:space="preserve">TMO must not only beat Q2 but also convince investors the H2 curve is intact.</w:t>
      </w:r>
    </w:p>
    <w:p>
      <w:r>
        <w:pict>
          <v:rect style="width:0;height:1.5pt" o:hralign="center" o:hrstd="t" o:hr="t"/>
        </w:pict>
      </w:r>
    </w:p>
    <w:bookmarkEnd w:id="10"/>
    <w:bookmarkStart w:id="11" w:name="consensus-expectations-for-q2-2026"/>
    <w:p>
      <w:pPr>
        <w:pStyle w:val="Heading2"/>
      </w:pPr>
      <w:r>
        <w:t xml:space="preserve">Consensus expectations for Q2 2026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~$11.68B</w:t>
            </w:r>
          </w:p>
        </w:tc>
        <w:tc>
          <w:tcPr/>
          <w:p>
            <w:pPr>
              <w:pStyle w:val="Compact"/>
            </w:pPr>
            <w:r>
              <w:t xml:space="preserve">$10.855B</w:t>
            </w:r>
          </w:p>
        </w:tc>
        <w:tc>
          <w:tcPr/>
          <w:p>
            <w:pPr>
              <w:pStyle w:val="Compact"/>
            </w:pPr>
            <w:r>
              <w:t xml:space="preserve">+7.6%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~$5.71</w:t>
            </w:r>
          </w:p>
        </w:tc>
        <w:tc>
          <w:tcPr/>
          <w:p>
            <w:pPr>
              <w:pStyle w:val="Compact"/>
            </w:pPr>
            <w:r>
              <w:t xml:space="preserve">$5.36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$4.28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Segment-level Street estimates: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Life Sciences Solutions:</w:t>
      </w:r>
      <w:r>
        <w:t xml:space="preserve"> </w:t>
      </w:r>
      <w:r>
        <w:t xml:space="preserve">~$2.74B (+9.6%) — the growth engine (bioproduction + Solventum filtration)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Laboratory Products &amp; Biopharma Services:</w:t>
      </w:r>
      <w:r>
        <w:t xml:space="preserve"> </w:t>
      </w:r>
      <w:r>
        <w:t xml:space="preserve">~$6.46B (+7.7%) — now includes Clario; clinical research/PPD is the swing factor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Analytical Instruments:</w:t>
      </w:r>
      <w:r>
        <w:t xml:space="preserve"> </w:t>
      </w:r>
      <w:r>
        <w:t xml:space="preserve">~$1.81B (+4.7%) — easier comp vs. year-ago tariff disruption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Specialty Diagnostics:</w:t>
      </w:r>
      <w:r>
        <w:t xml:space="preserve"> </w:t>
      </w:r>
      <w:r>
        <w:t xml:space="preserve">~$1.17B (+2.8%)</w:t>
      </w:r>
    </w:p>
    <w:p>
      <w:pPr>
        <w:pStyle w:val="FirstParagraph"/>
      </w:pPr>
      <w:r>
        <w:t xml:space="preserve">TMO has beaten EPS in each of the last four quarters (avg. surprise ~3.7%), and beat by 4.6% last quarter, so a modest headline beat is close to the base case. Note the Street revenue estimate (~$11.68B) sits comfortably above management's own framework — watch organic growth, not the reported number, which is flattered by ~2 pts of FX and the Clario/Solventum acquisitions.</w:t>
      </w:r>
    </w:p>
    <w:p>
      <w:r>
        <w:pict>
          <v:rect style="width:0;height:1.5pt" o:hralign="center" o:hrstd="t" o:hr="t"/>
        </w:pict>
      </w:r>
    </w:p>
    <w:bookmarkEnd w:id="11"/>
    <w:bookmarkStart w:id="12" w:name="what-management-explicitly-guided-for-q2"/>
    <w:p>
      <w:pPr>
        <w:pStyle w:val="Heading2"/>
      </w:pPr>
      <w:r>
        <w:t xml:space="preserve">What management explicitly guided for Q2</w:t>
      </w:r>
    </w:p>
    <w:p>
      <w:pPr>
        <w:pStyle w:val="FirstParagraph"/>
      </w:pPr>
      <w:r>
        <w:t xml:space="preserve">On the April call, CFO Jim Meyer gave unusually specific Q2 phasing: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revenue growth of ~3%</w:t>
      </w:r>
      <w:r>
        <w:t xml:space="preserve"> </w:t>
      </w:r>
      <w:r>
        <w:t xml:space="preserve">for Q2 (up from 1% in Q1, as the ~1-pt selling-day headwind reverses and Analytical Instruments laps last year's tariff-related disruption).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</w:t>
      </w:r>
      <w:r>
        <w:rPr>
          <w:b/>
          <w:bCs/>
        </w:rPr>
        <w:t xml:space="preserve"> </w:t>
      </w:r>
      <m:oMath>
        <m:r>
          <m:t>0.25</m:t>
        </m:r>
        <m:r>
          <m:rPr>
            <m:sty m:val="p"/>
          </m:rPr>
          <m:t>–</m:t>
        </m:r>
      </m:oMath>
      <w:r>
        <w:rPr>
          <w:b/>
          <w:bCs/>
        </w:rPr>
        <w:t xml:space="preserve">0.30 higher than Q1's $5.44 → roughly</w:t>
      </w:r>
      <w:r>
        <w:rPr>
          <w:b/>
          <w:bCs/>
        </w:rPr>
        <w:t xml:space="preserve"> </w:t>
      </w:r>
      <m:oMath>
        <m:r>
          <m:t>5.69</m:t>
        </m:r>
        <m:r>
          <m:rPr>
            <m:sty m:val="p"/>
          </m:rPr>
          <m:t>–</m:t>
        </m:r>
      </m:oMath>
      <w:r>
        <w:rPr>
          <w:b/>
          <w:bCs/>
        </w:rPr>
        <w:t xml:space="preserve">5.74.</w:t>
      </w:r>
      <w:r>
        <w:t xml:space="preserve"> </w:t>
      </w:r>
      <w:r>
        <w:t xml:space="preserve">Consensus of $5.71 sits right in the middle, so this is a "hit the number" quarter, not a lowball setup.</w:t>
      </w:r>
    </w:p>
    <w:p>
      <w:pPr>
        <w:pStyle w:val="FirstParagraph"/>
      </w:pPr>
      <w:r>
        <w:t xml:space="preserve">The Q1→Q2 step-up is driven by (1) no day headwind, (2) the easy Analytical Instruments comp, and (3) stronger pharma-services phasing weighted to H2.</w:t>
      </w:r>
    </w:p>
    <w:p>
      <w:r>
        <w:pict>
          <v:rect style="width:0;height:1.5pt" o:hralign="center" o:hrstd="t" o:hr="t"/>
        </w:pict>
      </w:r>
    </w:p>
    <w:bookmarkEnd w:id="12"/>
    <w:bookmarkStart w:id="13" w:name="X04165c9cf0d3445e11bcf39c23637dc21ba07c9"/>
    <w:p>
      <w:pPr>
        <w:pStyle w:val="Heading2"/>
      </w:pPr>
      <w:r>
        <w:t xml:space="preserve">Full-year 2026 guide — the real focus of the call</w:t>
      </w:r>
    </w:p>
    <w:p>
      <w:pPr>
        <w:pStyle w:val="FirstParagraph"/>
      </w:pPr>
      <w:r>
        <w:t xml:space="preserve">Guidance raised at Q1 (incorporating Clario + the Q1 beat):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Guide</w:t>
            </w:r>
          </w:p>
        </w:tc>
        <w:tc>
          <w:tcPr/>
          <w:p>
            <w:pPr>
              <w:pStyle w:val="Compact"/>
            </w:pPr>
            <w:r>
              <w:t xml:space="preserve">Current (raised at Q1)</w:t>
            </w:r>
          </w:p>
        </w:tc>
        <w:tc>
          <w:tcPr/>
          <w:p>
            <w:pPr>
              <w:pStyle w:val="Compact"/>
            </w:pPr>
            <w:r>
              <w:t xml:space="preserve">Original (Jan)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m:oMath>
              <m:r>
                <m:t>47.3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48.1B</w:t>
            </w:r>
            <w:r>
              <w:t xml:space="preserve"> </w:t>
            </w:r>
            <w:r>
              <w:t xml:space="preserve">(+6–8% reported;</w:t>
            </w:r>
            <w:r>
              <w:t xml:space="preserve"> </w:t>
            </w:r>
            <w:r>
              <w:rPr>
                <w:b/>
                <w:bCs/>
              </w:rPr>
              <w:t xml:space="preserve">3–4% organic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m:oMath>
              <m:r>
                <m:t>46.3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47.2B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m:oMath>
              <m:r>
                <m:t>24.64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25.12</w:t>
            </w:r>
            <w:r>
              <w:t xml:space="preserve"> </w:t>
            </w:r>
            <w:r>
              <w:t xml:space="preserve">(+8–10%)</w:t>
            </w:r>
          </w:p>
        </w:tc>
        <w:tc>
          <w:tcPr/>
          <w:p>
            <w:pPr>
              <w:pStyle w:val="Compact"/>
            </w:pPr>
            <m:oMath>
              <m:r>
                <m:t>24.22</m:t>
              </m:r>
              <m:r>
                <m:rPr>
                  <m:sty m:val="p"/>
                </m:rPr>
                <m:t>–</m:t>
              </m:r>
            </m:oMath>
            <w:r>
              <w:t xml:space="preserve">24.80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operating margin</w:t>
            </w:r>
          </w:p>
        </w:tc>
        <w:tc>
          <w:tcPr/>
          <w:p>
            <w:pPr>
              <w:pStyle w:val="Compact"/>
            </w:pPr>
            <w:r>
              <w:t xml:space="preserve">~+70 bps expansion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tax rate</w:t>
            </w:r>
          </w:p>
        </w:tc>
        <w:tc>
          <w:tcPr/>
          <w:p>
            <w:pPr>
              <w:pStyle w:val="Compact"/>
            </w:pPr>
            <w:r>
              <w:t xml:space="preserve">11.5%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expense</w:t>
            </w:r>
          </w:p>
        </w:tc>
        <w:tc>
          <w:tcPr/>
          <w:p>
            <w:pPr>
              <w:pStyle w:val="Compact"/>
            </w:pPr>
            <w:r>
              <w:t xml:space="preserve">~$660M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m:oMath>
              <m:r>
                <m:t>6.9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7.4B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share count</w:t>
            </w:r>
          </w:p>
        </w:tc>
        <w:tc>
          <w:tcPr/>
          <w:p>
            <w:pPr>
              <w:pStyle w:val="Compact"/>
            </w:pPr>
            <w:r>
              <w:t xml:space="preserve">370M–375M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Key questions for the call: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 they raise again, or just "flow through" a Q2 beat?</w:t>
      </w:r>
      <w:r>
        <w:t xml:space="preserve"> </w:t>
      </w:r>
      <w:r>
        <w:t xml:space="preserve">Given the Danaher reaction, an in-line-to-modest raise with unchanged organic guidance could still see the stock sell off if H2 confidence isn't reinforced. The midpoint organic guide is "slightly above 3%," which still embeds acceleration into Q4.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Inflation placeholder.</w:t>
      </w:r>
      <w:r>
        <w:t xml:space="preserve"> </w:t>
      </w:r>
      <w:r>
        <w:t xml:space="preserve">Management deliberately held back part of the Q1 operational beat as a cushion for oil-price/logistics inflation tied to Middle East conflict. If that risk hasn't materialized, there's room to release it into EPS; if it has, watch margins.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Tariffs.</w:t>
      </w:r>
      <w:r>
        <w:t xml:space="preserve"> </w:t>
      </w:r>
      <w:r>
        <w:t xml:space="preserve">Q1 carried ~80 bps of margin headwind from tariffs/related FX. New July headlines around</w:t>
      </w:r>
      <w:r>
        <w:t xml:space="preserve"> </w:t>
      </w:r>
      <w:r>
        <w:rPr>
          <w:b/>
          <w:bCs/>
        </w:rPr>
        <w:t xml:space="preserve">generic-drug tariffs (100% threat, phased into 2028)</w:t>
      </w:r>
      <w:r>
        <w:t xml:space="preserve"> </w:t>
      </w:r>
      <w:r>
        <w:t xml:space="preserve">add noise to the pharma-services/CDMO narrative — expect questions on reshoring.</w:t>
      </w:r>
    </w:p>
    <w:p>
      <w:r>
        <w:pict>
          <v:rect style="width:0;height:1.5pt" o:hralign="center" o:hrstd="t" o:hr="t"/>
        </w:pict>
      </w:r>
    </w:p>
    <w:bookmarkEnd w:id="13"/>
    <w:bookmarkStart w:id="14" w:name="X93da6e34e835e09db0902c55f3fe279e83e1732"/>
    <w:p>
      <w:pPr>
        <w:pStyle w:val="Heading2"/>
      </w:pPr>
      <w:r>
        <w:t xml:space="preserve">End-market scorecard (how Q1 played out — the baseline)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Pharma &amp; Biotech (largest):</w:t>
      </w:r>
      <w:r>
        <w:t xml:space="preserve"> </w:t>
      </w:r>
      <w:r>
        <w:t xml:space="preserve">mid-single-digit growth; led by</w:t>
      </w:r>
      <w:r>
        <w:t xml:space="preserve"> </w:t>
      </w:r>
      <w:r>
        <w:rPr>
          <w:b/>
          <w:bCs/>
        </w:rPr>
        <w:t xml:space="preserve">bioproduction</w:t>
      </w:r>
      <w:r>
        <w:t xml:space="preserve"> </w:t>
      </w:r>
      <w:r>
        <w:t xml:space="preserve">(grew well above peers) and</w:t>
      </w:r>
      <w:r>
        <w:t xml:space="preserve"> </w:t>
      </w:r>
      <w:r>
        <w:rPr>
          <w:b/>
          <w:bCs/>
        </w:rPr>
        <w:t xml:space="preserve">clinical research/PPD</w:t>
      </w:r>
      <w:r>
        <w:t xml:space="preserve"> </w:t>
      </w:r>
      <w:r>
        <w:t xml:space="preserve">(strong revenue + authorizations, share gains). This is the bull case — watch whether momentum held and whether biotech funding is translating into spend.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Academic &amp; Government:</w:t>
      </w:r>
      <w:r>
        <w:t xml:space="preserve"> </w:t>
      </w:r>
      <w:r>
        <w:t xml:space="preserve">down low-single-digits (muted U.S. + China; NIH/funding overhang). Management assumes only modest, gradual stabilization — not recovery — for the year.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Industrial &amp; Applied:</w:t>
      </w:r>
      <w:r>
        <w:t xml:space="preserve"> </w:t>
      </w:r>
      <w:r>
        <w:t xml:space="preserve">roughly flat; led by chromatography/mass spec and the research &amp; safety channel.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Diagnostics &amp; Healthcare:</w:t>
      </w:r>
      <w:r>
        <w:t xml:space="preserve"> </w:t>
      </w:r>
      <w:r>
        <w:t xml:space="preserve">down mid-single-digits (tough respiratory comp; transplant diagnostics a bright spot).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China (~7.5% of revenue):</w:t>
      </w:r>
      <w:r>
        <w:t xml:space="preserve"> </w:t>
      </w:r>
      <w:r>
        <w:t xml:space="preserve">down low-single-digits; no meaningful growth assumed for 2026 — potential upside optionality if it turns.</w:t>
      </w:r>
    </w:p>
    <w:p>
      <w:r>
        <w:pict>
          <v:rect style="width:0;height:1.5pt" o:hralign="center" o:hrstd="t" o:hr="t"/>
        </w:pict>
      </w:r>
    </w:p>
    <w:bookmarkEnd w:id="14"/>
    <w:bookmarkStart w:id="15" w:name="capital-deployment--strategic-angle"/>
    <w:p>
      <w:pPr>
        <w:pStyle w:val="Heading2"/>
      </w:pPr>
      <w:r>
        <w:t xml:space="preserve">Capital deployment &amp; strategic angle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Clario</w:t>
      </w:r>
      <w:r>
        <w:t xml:space="preserve"> </w:t>
      </w:r>
      <w:r>
        <w:t xml:space="preserve">(</w:t>
      </w:r>
      <m:oMath>
        <m:r>
          <m:t> </m:t>
        </m:r>
        <m:r>
          <m:t>9</m:t>
        </m:r>
        <m:r>
          <m:t>B</m:t>
        </m:r>
        <m:r>
          <m:rPr>
            <m:sty m:val="p"/>
          </m:rPr>
          <m:t>,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l</m:t>
        </m:r>
        <m:r>
          <m:t>a</m:t>
        </m:r>
        <m:r>
          <m:t>t</m:t>
        </m:r>
        <m:r>
          <m:t>e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)</m:t>
        </m:r>
        <m:r>
          <m:t>i</m:t>
        </m:r>
        <m:r>
          <m:t>s</m:t>
        </m:r>
        <m:r>
          <m:t>n</m:t>
        </m:r>
        <m:r>
          <m:t>o</m:t>
        </m:r>
        <m:r>
          <m:t>w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L</m:t>
        </m:r>
        <m:r>
          <m:t>P</m:t>
        </m:r>
        <m:r>
          <m:t>B</m:t>
        </m:r>
        <m:r>
          <m:t>S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;</m:t>
        </m:r>
        <m:r>
          <m:t>i</m:t>
        </m:r>
        <m:r>
          <m:t>t</m:t>
        </m:r>
        <m:r>
          <m:t>a</m:t>
        </m:r>
        <m:r>
          <m:t>d</m:t>
        </m:r>
        <m:r>
          <m:t>d</m:t>
        </m:r>
        <m:r>
          <m:t>s</m:t>
        </m:r>
        <m:r>
          <m:t> </m:t>
        </m:r>
      </m:oMath>
      <w:r>
        <w:t xml:space="preserve">900M to FY revenue and ~$0.32 adjusted EPS, and is the strategic centerpiece — digital endpoint data that plugs into the "Accelerator Drug Development" CRO+CDMO offering. Watch for early integration/cross-sell commentary.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Q1 leverage was 3.8x gross / 3.5x net debt/EBITDA post-Clario — elevated, so expect the buyback pace to slow (only the</w:t>
      </w:r>
      <w:r>
        <w:t xml:space="preserve"> </w:t>
      </w:r>
      <m:oMath>
        <m:r>
          <m:t>3</m:t>
        </m:r>
        <m:r>
          <m:t>B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i</m:t>
        </m:r>
        <m:r>
          <m:t>s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e</m:t>
        </m:r>
        <m:r>
          <m:t>d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;</m:t>
        </m:r>
        <m:r>
          <m:t> </m:t>
        </m:r>
      </m:oMath>
      <w:r>
        <w:t xml:space="preserve">700M dividends after a 10% hike).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AI narrative:</w:t>
      </w:r>
      <w:r>
        <w:t xml:space="preserve"> </w:t>
      </w:r>
      <w:r>
        <w:t xml:space="preserve">NVIDIA (instrumentation) and OpenAI (clinical research) collaborations are a recurring theme; an</w:t>
      </w:r>
      <w:r>
        <w:t xml:space="preserve"> </w:t>
      </w:r>
      <w:r>
        <w:rPr>
          <w:b/>
          <w:bCs/>
        </w:rPr>
        <w:t xml:space="preserve">Analyst Day was held May 20</w:t>
      </w:r>
      <w:r>
        <w:t xml:space="preserve"> </w:t>
      </w:r>
      <w:r>
        <w:t xml:space="preserve">— expect management to reference long-term framework/targets.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Reshoring:</w:t>
      </w:r>
      <w:r>
        <w:t xml:space="preserve"> </w:t>
      </w:r>
      <w:r>
        <w:t xml:space="preserve">framed as a 2027–2028 tailwind (CDMO + bioproduction), not a 2026 needle-mover.</w:t>
      </w:r>
    </w:p>
    <w:p>
      <w:r>
        <w:pict>
          <v:rect style="width:0;height:1.5pt" o:hralign="center" o:hrstd="t" o:hr="t"/>
        </w:pict>
      </w:r>
    </w:p>
    <w:bookmarkEnd w:id="15"/>
    <w:bookmarkStart w:id="16" w:name="stock-setup--sentiment"/>
    <w:p>
      <w:pPr>
        <w:pStyle w:val="Heading2"/>
      </w:pPr>
      <w:r>
        <w:t xml:space="preserve">Stock setup &amp; sentiment</w:t>
      </w:r>
    </w:p>
    <w:p>
      <w:pPr>
        <w:pStyle w:val="Compact"/>
        <w:numPr>
          <w:ilvl w:val="0"/>
          <w:numId w:val="1006"/>
        </w:numPr>
      </w:pPr>
      <w:r>
        <w:t xml:space="preserve">Shares are around</w:t>
      </w:r>
      <w:r>
        <w:t xml:space="preserve"> </w:t>
      </w:r>
      <w:r>
        <w:rPr>
          <w:b/>
          <w:bCs/>
        </w:rPr>
        <w:t xml:space="preserve">$526</w:t>
      </w:r>
      <w:r>
        <w:t xml:space="preserve">, down</w:t>
      </w:r>
      <w:r>
        <w:t xml:space="preserve"> </w:t>
      </w:r>
      <w:r>
        <w:rPr>
          <w:b/>
          <w:bCs/>
        </w:rPr>
        <w:t xml:space="preserve">~11% YTD</w:t>
      </w:r>
      <w:r>
        <w:t xml:space="preserve">, and have materially lagged.</w:t>
      </w:r>
    </w:p>
    <w:p>
      <w:pPr>
        <w:pStyle w:val="Compact"/>
        <w:numPr>
          <w:ilvl w:val="0"/>
          <w:numId w:val="1006"/>
        </w:numPr>
      </w:pPr>
      <w:r>
        <w:t xml:space="preserve">Critically,</w:t>
      </w:r>
      <w:r>
        <w:t xml:space="preserve"> </w:t>
      </w:r>
      <w:r>
        <w:rPr>
          <w:b/>
          <w:bCs/>
        </w:rPr>
        <w:t xml:space="preserve">TMO fell ~9% on the Q1 print (April 23) despite a beat-and-raise</w:t>
      </w:r>
      <w:r>
        <w:t xml:space="preserve"> </w:t>
      </w:r>
      <w:r>
        <w:t xml:space="preserve">— punished purely on ramp/macro skepticism — then bottomed near</w:t>
      </w:r>
      <w:r>
        <w:t xml:space="preserve"> </w:t>
      </w:r>
      <w:r>
        <w:rPr>
          <w:b/>
          <w:bCs/>
        </w:rPr>
        <w:t xml:space="preserve">$438 in mid-May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Since then it has rallied</w:t>
      </w:r>
      <w:r>
        <w:t xml:space="preserve"> </w:t>
      </w:r>
      <w:r>
        <w:rPr>
          <w:b/>
          <w:bCs/>
        </w:rPr>
        <w:t xml:space="preserve">~20% off the low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~13% in the past month</w:t>
      </w:r>
      <w:r>
        <w:t xml:space="preserve">, but slipped a few percent from its mid-July high (~$543). So the stock comes in</w:t>
      </w:r>
      <w:r>
        <w:t xml:space="preserve"> </w:t>
      </w:r>
      <w:r>
        <w:rPr>
          <w:b/>
          <w:bCs/>
        </w:rPr>
        <w:t xml:space="preserve">with expectations partly rebuilt and some momentum</w:t>
      </w:r>
      <w:r>
        <w:t xml:space="preserve">, which raises the bar and increases downside gap risk if the H2 story wobbles (à la Danaher).</w:t>
      </w:r>
    </w:p>
    <w:p>
      <w:pPr>
        <w:pStyle w:val="Compact"/>
        <w:numPr>
          <w:ilvl w:val="0"/>
          <w:numId w:val="1006"/>
        </w:numPr>
      </w:pPr>
      <w:r>
        <w:t xml:space="preserve">Sell-side average price target sat around $720 (spring), implying analysts still see substantial upside longer-term; near-term sentiment is more cautious (e.g., Zacks Rank #4/Sell).</w:t>
      </w:r>
    </w:p>
    <w:p>
      <w:r>
        <w:pict>
          <v:rect style="width:0;height:1.5pt" o:hralign="center" o:hrstd="t" o:hr="t"/>
        </w:pict>
      </w:r>
    </w:p>
    <w:bookmarkEnd w:id="16"/>
    <w:bookmarkStart w:id="17" w:name="what-to-watch-on-the-print--call"/>
    <w:p>
      <w:pPr>
        <w:pStyle w:val="Heading2"/>
      </w:pPr>
      <w:r>
        <w:t xml:space="preserve">What to watch on the print &amp; call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Organic growth vs. the ~3% Q2 guide</w:t>
      </w:r>
      <w:r>
        <w:t xml:space="preserve"> </w:t>
      </w:r>
      <w:r>
        <w:t xml:space="preserve">— a miss here matters far more than the FX-flattered headline revenue.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Any change to the FY organic range</w:t>
      </w:r>
      <w:r>
        <w:t xml:space="preserve"> </w:t>
      </w:r>
      <w:r>
        <w:t xml:space="preserve">and, crucially,</w:t>
      </w:r>
      <w:r>
        <w:t xml:space="preserve"> </w:t>
      </w:r>
      <w:r>
        <w:rPr>
          <w:b/>
          <w:bCs/>
        </w:rPr>
        <w:t xml:space="preserve">the tone on Q4 acceleration</w:t>
      </w:r>
      <w:r>
        <w:t xml:space="preserve"> </w:t>
      </w:r>
      <w:r>
        <w:t xml:space="preserve">— post-Danaher, this is the single biggest stock driver.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Bioproduction and clinical research (PPD) trajectory</w:t>
      </w:r>
      <w:r>
        <w:t xml:space="preserve"> </w:t>
      </w:r>
      <w:r>
        <w:t xml:space="preserve">— the two pillars carrying pharma/biotech; watch PPD bookings/authorizations given a peer flagged soft CRO bookings.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Analytical Instruments</w:t>
      </w:r>
      <w:r>
        <w:t xml:space="preserve"> </w:t>
      </w:r>
      <w:r>
        <w:t xml:space="preserve">— did the easy comp deliver the expected snapback, and any real sign of A&amp;G/China stabilization?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Margins</w:t>
      </w:r>
      <w:r>
        <w:t xml:space="preserve"> </w:t>
      </w:r>
      <w:r>
        <w:t xml:space="preserve">— the interplay of PPI productivity vs. tariffs, inflation placeholder, and Clario/Solventum mix (both dilutive to margin early).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EPS raise mechanics</w:t>
      </w:r>
      <w:r>
        <w:t xml:space="preserve"> </w:t>
      </w:r>
      <w:r>
        <w:t xml:space="preserve">— flow-through of the Q2 beat vs. holding the inflation cushion.</w:t>
      </w:r>
    </w:p>
    <w:p>
      <w:r>
        <w:pict>
          <v:rect style="width:0;height:1.5pt" o:hralign="center" o:hrstd="t" o:hr="t"/>
        </w:pic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TMO is a high-quality compounder priced for a second-half reacceleration that it has not yet demonstrated. Consensus (~$11.68B / $5.71) essentially matches management's own Q2 guide, so the</w:t>
      </w:r>
      <w:r>
        <w:t xml:space="preserve"> </w:t>
      </w:r>
      <w:r>
        <w:rPr>
          <w:b/>
          <w:bCs/>
        </w:rPr>
        <w:t xml:space="preserve">quality and credibility of the H2 ramp — not the Q2 headline — will drive the reaction.</w:t>
      </w:r>
      <w:r>
        <w:t xml:space="preserve"> </w:t>
      </w:r>
      <w:r>
        <w:t xml:space="preserve">The Danaher blow-up 48 hours prior is a live warning that in the current tape, a beat paired with anything less than firm reassurance on organic acceleration can trigger a sharp de-rating. Conversely, given TMO's beaten-down YTD performance and consistent execution/beat history, a clean quarter with bioproduction and clinical-research momentum intact and the FY organic guide reaffirmed (or nudged up) could be a relief catalyst.</w:t>
      </w:r>
    </w:p>
    <w:p>
      <w:pPr>
        <w:pStyle w:val="BodyText"/>
      </w:pPr>
      <w:r>
        <w:rPr>
          <w:i/>
          <w:iCs/>
        </w:rPr>
        <w:t xml:space="preserve">Note: All financial figures are drawn from TMO's own filings/transcripts and publicly reported analyst consensus. Consensus estimates and price targets are third-party figures and subject to revision.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2026-07-23T00:31:30Z</dcterms:created>
  <dcterms:modified xsi:type="dcterms:W3CDTF">2026-07-23T00:31:30Z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