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~$11.90B vs. cons $11.72B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~3.0%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~$25.05 (raised range) vs. cons $24.84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~$47.7B midpoint (range $47.3-48.1B reaffirmed) vs. cons $47.8B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 trajectory / H2 step-up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~3%-4% organic reaffirmed vs. cons ~3.5%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Microbiology divestiture revenue/EPS impact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300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n</m:t>
              </m:r>
              <m:r>
                <m:t>e</m:t>
              </m:r>
              <m:r>
                <m:t>u</m:t>
              </m:r>
              <m:r>
                <m:t>t</m:t>
              </m:r>
              <m:r>
                <m:t>r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l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l</m:t>
              </m:r>
              <m:r>
                <m:t>y</m:t>
              </m:r>
              <m:r>
                <m:t>d</m:t>
              </m:r>
              <m:r>
                <m:t>i</m:t>
              </m:r>
              <m:r>
                <m:t>l</m:t>
              </m:r>
              <m:r>
                <m:t>u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baked-in impact (H2 2026 close)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Beat-and-raise on Q2 headline numbers should drive an initial pop, but the FY guide raise is likely to look 'in-line' relative to the magnitude of the Q2 beat once analysts back out the Clario/microbiology divestiture mechanics and roll forward organic growth assumptions for H2 (China/academic still soft, tariff cushion being drawn down). That combination — a smaller-than-expected raise to the out-year numbers plus lingering NIH/China/academic uncertainty — typically causes the initial pop to fade over the following days as sell-side models get trued up rather than meaningfully upgraded.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2026-07-23T00:34:35Z</dcterms:created>
  <dcterms:modified xsi:type="dcterms:W3CDTF">2026-07-23T00:34:35Z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