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cc4a1a9b5d7a65d0136febc69d75c56588df7e8"/>
    <w:p>
      <w:pPr>
        <w:pStyle w:val="Heading1"/>
      </w:pPr>
      <w:r>
        <w:t xml:space="preserve">Thermo Fisher Scientific (TMO) — Q2 2026 Earnings Preview</w:t>
      </w:r>
    </w:p>
    <w:p>
      <w:pPr>
        <w:pStyle w:val="FirstParagraph"/>
      </w:pPr>
      <w:r>
        <w:rPr>
          <w:b/>
          <w:bCs/>
        </w:rPr>
        <w:t xml:space="preserve">Report Date:</w:t>
      </w:r>
      <w:r>
        <w:t xml:space="preserve"> </w:t>
      </w:r>
      <w:r>
        <w:t xml:space="preserve">Thursday, July 23, 2026 (before market open) |</w:t>
      </w:r>
      <w:r>
        <w:t xml:space="preserve"> </w:t>
      </w:r>
      <w:r>
        <w:rPr>
          <w:b/>
          <w:bCs/>
        </w:rPr>
        <w:t xml:space="preserve">Call:</w:t>
      </w:r>
      <w:r>
        <w:t xml:space="preserve"> </w:t>
      </w:r>
      <w:r>
        <w:t xml:space="preserve">8:30 a.m.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Thermo Fisher shares have had a volatile 2026: the stock started the year near</w:t>
      </w:r>
      <w:r>
        <w:t xml:space="preserve"> </w:t>
      </w:r>
      <m:oMath>
        <m:r>
          <m:t>590</m:t>
        </m:r>
        <m:r>
          <m:rPr>
            <m:sty m:val="p"/>
          </m:rPr>
          <m:t>−</m:t>
        </m:r>
        <m:r>
          <m:t>620</m:t>
        </m:r>
        <m:r>
          <m:rPr>
            <m:sty m:val="p"/>
          </m:rPr>
          <m:t>,</m:t>
        </m:r>
        <m:r>
          <m:t>s</m:t>
        </m:r>
        <m:r>
          <m:t>o</m:t>
        </m:r>
        <m:r>
          <m:t>l</m:t>
        </m:r>
        <m:r>
          <m:t>d</m:t>
        </m:r>
        <m:r>
          <m:t>o</m:t>
        </m:r>
        <m:r>
          <m:t>f</m:t>
        </m:r>
        <m:r>
          <m:t>f</m:t>
        </m:r>
        <m:r>
          <m:t>s</m:t>
        </m:r>
        <m:r>
          <m:t>h</m:t>
        </m:r>
        <m:r>
          <m:t>a</m:t>
        </m:r>
        <m:r>
          <m:t>r</m:t>
        </m:r>
        <m:r>
          <m:t>p</m:t>
        </m:r>
        <m:r>
          <m:t>l</m:t>
        </m:r>
        <m:r>
          <m:t>y</m:t>
        </m:r>
        <m:r>
          <m:t>t</m:t>
        </m:r>
        <m:r>
          <m:t>o</m:t>
        </m:r>
        <m:r>
          <m:t>t</m:t>
        </m:r>
        <m:r>
          <m:t>h</m:t>
        </m:r>
        <m:r>
          <m:t>e</m:t>
        </m:r>
        <m:r>
          <m:t>m</m:t>
        </m:r>
        <m:r>
          <m:t>i</m:t>
        </m:r>
        <m:r>
          <m:t>d</m:t>
        </m:r>
        <m:r>
          <m:rPr>
            <m:sty m:val="p"/>
          </m:rPr>
          <m:t>−</m:t>
        </m:r>
      </m:oMath>
      <w:r>
        <w:t xml:space="preserve">400s by May on macro and end-market anxiety, and has since recovered to the mid-$520s heading into earnings — but a Seeking Alpha preview from earlier this month still Thermo Fisher Scientific Inc. is down 12.2% YTD, underperforming both the S&amp;P 500 and the healthcare sector. That same piece frames the key risks as NIH funding uncertainty, China weakness, slow organic recovery, and integration risk from the $8.9B Clario acquisition, while noting TMO trades at a discount to its historical multiple. Sell-side sentiment remains broadly constructive on a 12-month view — average price targets sit meaningfully above the current quote — even though at least one screen currently flags a negative near-term rank on the stock.</w:t>
      </w:r>
    </w:p>
    <w:bookmarkEnd w:id="9"/>
    <w:bookmarkStart w:id="10" w:name="Xdc257ad3069e9124bc5fc8003e608f2a7b149ba"/>
    <w:p>
      <w:pPr>
        <w:pStyle w:val="Heading2"/>
      </w:pPr>
      <w:r>
        <w:t xml:space="preserve">2. What Happened Last Quarter (Q1 2026 Recap)</w:t>
      </w:r>
    </w:p>
    <w:p>
      <w:pPr>
        <w:pStyle w:val="FirstParagraph"/>
      </w:pPr>
      <w:r>
        <w:t xml:space="preserve">Thermo Fisher's Q1 print set the tone for 2026: first quarter revenue grew 6% to $11.01 billion, and GAAP diluted EPS grew 11% to $4.43, while adjusted EPS grew 6% to $5.44. Organic growth, however, was just 1%, held back by an extra selling-day headwind and phasing in the Pharma Services business. By segment, Life Sciences Solutions (bioproduction-led) grew organically, while Analytical Instruments and Specialty Diagnostics declined organically on soft academic/government and China demand, and Laboratory Products &amp; Biopharma Services (now the largest segment at ~55% of revenue) grew organic revenue 4%, led by clinical research and the research/safety channel.</w:t>
      </w:r>
    </w:p>
    <w:p>
      <w:pPr>
        <w:pStyle w:val="BodyText"/>
      </w:pPr>
      <w:r>
        <w:t xml:space="preserve">Management used the quarter to raise full-year guidance, citing the newly closed Clario acquisition and operational outperformance: we are raising revenue guidance from a range of $46.3 billion to $47.2 billion to a new range of $47.3 billion to $48.1 billion, which represents 6% to 8% reported revenue growth over 2025 and continues to assume 3% to 4% organic revenue growth for the year... we expect adjusted earnings per share to be in the range of $24.64 to $25.12, which represents 8% to 10% growth over 2025. CFO Jim Meyer explicitly framed the phasing for this quarter: we are assuming organic revenue growth of about 3% for the second quarter. We expect Q2 adjusted EPS to be between $0.25 and $0.30 higher than Q1 — implying an adjusted EPS bogey of roughly</w:t>
      </w:r>
      <w:r>
        <w:t xml:space="preserve"> </w:t>
      </w:r>
      <m:oMath>
        <m:r>
          <m:t>5.69</m:t>
        </m:r>
        <m:r>
          <m:rPr>
            <m:sty m:val="p"/>
          </m:rPr>
          <m:t>–</m:t>
        </m:r>
      </m:oMath>
      <w:r>
        <w:t xml:space="preserve">5.74, essentially in line with Street consensus.</w:t>
      </w:r>
    </w:p>
    <w:bookmarkEnd w:id="10"/>
    <w:bookmarkStart w:id="11" w:name="X22f6543435035c1136f7250506ebd67dbcdbe2c"/>
    <w:p>
      <w:pPr>
        <w:pStyle w:val="Heading2"/>
      </w:pPr>
      <w:r>
        <w:t xml:space="preserve">3. Consensus Expectations for Q2 2026</w:t>
      </w:r>
    </w:p>
    <w:p>
      <w:pPr>
        <w:pStyle w:val="FirstParagraph"/>
      </w:pPr>
      <w:r>
        <w:t xml:space="preserve">Sell-side estimates have converged tightly around management's implied guidance:</w:t>
      </w:r>
    </w:p>
    <w:p>
      <w:pPr>
        <w:pStyle w:val="Compact"/>
        <w:numPr>
          <w:ilvl w:val="0"/>
          <w:numId w:val="1001"/>
        </w:numPr>
      </w:pPr>
      <w:r>
        <w:rPr>
          <w:b/>
          <w:bCs/>
        </w:rPr>
        <w:t xml:space="preserve">EPS:</w:t>
      </w:r>
      <w:r>
        <w:t xml:space="preserve"> </w:t>
      </w:r>
      <w:r>
        <w:t xml:space="preserve">Consensus sits at roughly</w:t>
      </w:r>
      <w:r>
        <w:t xml:space="preserve"> </w:t>
      </w:r>
      <m:oMath>
        <m:r>
          <m:t>5.71</m:t>
        </m:r>
        <m:r>
          <m:rPr>
            <m:sty m:val="p"/>
          </m:rPr>
          <m:t>–</m:t>
        </m:r>
      </m:oMath>
      <w:r>
        <w:rPr>
          <w:b/>
          <w:bCs/>
        </w:rPr>
        <w:t xml:space="preserve">5.77</w:t>
      </w:r>
      <w:r>
        <w:t xml:space="preserve">, up ~6.5% year-over-year — analysts expect TMO to report a profit of $5.71 per share on a diluted basis, up 6.5% from $5.36 per share in the year-ago quarter.</w:t>
      </w:r>
    </w:p>
    <w:p>
      <w:pPr>
        <w:pStyle w:val="Compact"/>
        <w:numPr>
          <w:ilvl w:val="0"/>
          <w:numId w:val="1001"/>
        </w:numPr>
      </w:pPr>
      <w:r>
        <w:rPr>
          <w:b/>
          <w:bCs/>
        </w:rPr>
        <w:t xml:space="preserve">Revenue:</w:t>
      </w:r>
      <w:r>
        <w:t xml:space="preserve"> </w:t>
      </w:r>
      <w:r>
        <w:t xml:space="preserve">Consensus is around</w:t>
      </w:r>
      <w:r>
        <w:t xml:space="preserve"> </w:t>
      </w:r>
      <w:r>
        <w:rPr>
          <w:b/>
          <w:bCs/>
        </w:rPr>
        <w:t xml:space="preserve">$11.7–11.8 billion</w:t>
      </w:r>
      <w:r>
        <w:t xml:space="preserve">. One estimate puts it at $11.68 billion, increasing 7.6% from the same quarter last year, while another source pegs the market's revenue growth expectation even higher, noting the market is expecting Thermo Fisher's revenue to grow 7.9% year on year, improving from the 3% increase it recorded in the same quarter last year.</w:t>
      </w:r>
    </w:p>
    <w:p>
      <w:pPr>
        <w:pStyle w:val="Compact"/>
        <w:numPr>
          <w:ilvl w:val="0"/>
          <w:numId w:val="1001"/>
        </w:numPr>
      </w:pPr>
      <w:r>
        <w:rPr>
          <w:b/>
          <w:bCs/>
        </w:rPr>
        <w:t xml:space="preserve">Track record:</w:t>
      </w:r>
      <w:r>
        <w:t xml:space="preserve"> </w:t>
      </w:r>
      <w:r>
        <w:t xml:space="preserve">Thermo Fisher has a strong history of beating estimates — the company has consistently surpassed Wall Street's EPS estimates in its last four quarterly reports, with earnings topping estimates in each of the trailing four quarters, the average surprise being 3.69%.</w:t>
      </w:r>
    </w:p>
    <w:p>
      <w:pPr>
        <w:pStyle w:val="Compact"/>
        <w:numPr>
          <w:ilvl w:val="0"/>
          <w:numId w:val="1001"/>
        </w:numPr>
      </w:pPr>
      <w:r>
        <w:rPr>
          <w:b/>
          <w:bCs/>
        </w:rPr>
        <w:t xml:space="preserve">Full year:</w:t>
      </w:r>
      <w:r>
        <w:t xml:space="preserve"> </w:t>
      </w:r>
      <w:r>
        <w:t xml:space="preserve">For FY2026, the Street models EPS of roughly $24.84, up 8.6% from $22.87 in fiscal 2025, in line with management's own</w:t>
      </w:r>
      <w:r>
        <w:t xml:space="preserve"> </w:t>
      </w:r>
      <m:oMath>
        <m:r>
          <m:t>24.64</m:t>
        </m:r>
        <m:r>
          <m:rPr>
            <m:sty m:val="p"/>
          </m:rPr>
          <m:t>–</m:t>
        </m:r>
      </m:oMath>
      <w:r>
        <w:t xml:space="preserve">25.12 guide.</w:t>
      </w:r>
    </w:p>
    <w:bookmarkEnd w:id="11"/>
    <w:bookmarkStart w:id="12" w:name="X6cc1a11a42af6ff335249586e1cec1d35d3b47f"/>
    <w:p>
      <w:pPr>
        <w:pStyle w:val="Heading2"/>
      </w:pPr>
      <w:r>
        <w:t xml:space="preserve">4. Key Things to Watch on the Call</w:t>
      </w:r>
    </w:p>
    <w:p>
      <w:pPr>
        <w:pStyle w:val="FirstParagraph"/>
      </w:pPr>
      <w:r>
        <w:rPr>
          <w:b/>
          <w:bCs/>
        </w:rPr>
        <w:t xml:space="preserve">a) The pace of the "ramp" — organic growth acceleration.</w:t>
      </w:r>
      <w:r>
        <w:t xml:space="preserve"> </w:t>
      </w:r>
      <w:r>
        <w:t xml:space="preserve">Q1 (+1%) to Q2 (~3%) to a stronger H2 is the core debate. Management has been explicit that the sequential step-up is driven by comparability issues (selling days, tough Analytical Instruments comps, Pharma Services phasing) rather than a change in underlying demand. On the Q1 call, CEO Marc Casper pushed back on skepticism directly, noting the team feels the ramp is "not really assuming a change in the underlying market conditions" and instead reflects known comparability dynamics. Watch for confirmation that Q2 organic growth actually landed near the ~3% target and whether management reiterates confidence in a further step-up into Q3/Q4.</w:t>
      </w:r>
    </w:p>
    <w:p>
      <w:pPr>
        <w:pStyle w:val="BodyText"/>
      </w:pPr>
      <w:r>
        <w:rPr>
          <w:b/>
          <w:bCs/>
        </w:rPr>
        <w:t xml:space="preserve">b) Pharma &amp; Biotech strength — bioproduction and clinical research.</w:t>
      </w:r>
      <w:r>
        <w:t xml:space="preserve"> </w:t>
      </w:r>
      <w:r>
        <w:t xml:space="preserve">This is TMO's largest and best-performing end market (about 57–60% of revenue). Bioproduction delivered what Casper called a "phenomenal quarter" in Q1, and clinical research (PPD) posted strong revenue and authorizations growth. Investors will want confirmation that biotech funding improvements (M&amp;A, licensing, VC activity) are continuing to convert into actual spending — management has previously flagged roughly a 6-month lag between funding events and spend showing up, first in development pipelines, then research.</w:t>
      </w:r>
    </w:p>
    <w:p>
      <w:pPr>
        <w:pStyle w:val="BodyText"/>
      </w:pPr>
      <w:r>
        <w:rPr>
          <w:b/>
          <w:bCs/>
        </w:rPr>
        <w:t xml:space="preserve">c) Clario integration and contribution.</w:t>
      </w:r>
      <w:r>
        <w:t xml:space="preserve"> </w:t>
      </w:r>
      <w:r>
        <w:t xml:space="preserve">The ~$9 billion Clario acquisition (endpoint data solutions for clinical trials) closed in late March and is now embedded in Laboratory Products &amp; Biopharma Services. At Investor Day, management reiterated Clario is expected to add about 20 basis points to margins and $0.32 to adjusted EPS this year, contribute to organic growth, and hit $175 million of adjusted operating income by year five with double-digit IRRs. Watch for integration commentary and any update to those synergy targets.</w:t>
      </w:r>
    </w:p>
    <w:p>
      <w:pPr>
        <w:pStyle w:val="BodyText"/>
      </w:pPr>
      <w:r>
        <w:rPr>
          <w:b/>
          <w:bCs/>
        </w:rPr>
        <w:t xml:space="preserve">d) Microbiology divestiture — financial impact now embedded in guidance.</w:t>
      </w:r>
      <w:r>
        <w:t xml:space="preserve"> </w:t>
      </w:r>
      <w:r>
        <w:t xml:space="preserve">Thermo Fisher agreed in late April to divest its microbiology business, with reports pegging the deal at approximately $1.075 billion, consisting of cash and a $50-million seller note to private equity firm Astorg. Management said on the Q1 call it would "provide any expected impact to our 2026 financials in our Q2 earnings call" — this is one of the more concrete guidance-mechanics items to track, given the deal is expected to close in H2 2026.</w:t>
      </w:r>
    </w:p>
    <w:p>
      <w:pPr>
        <w:pStyle w:val="BodyText"/>
      </w:pPr>
      <w:r>
        <w:rPr>
          <w:b/>
          <w:bCs/>
        </w:rPr>
        <w:t xml:space="preserve">e) Academic &amp; Government, China, and Diagnostics — signs of stabilization?</w:t>
      </w:r>
      <w:r>
        <w:t xml:space="preserve"> </w:t>
      </w:r>
      <w:r>
        <w:t xml:space="preserve">These end markets were the drag in Q1 (academic/government down low-single-digits on muted U.S. and China conditions; diagnostics down mid-single-digits). Management struck a cautiously optimistic tone on U.S. academic/government funding flows improving modestly post-budget-passage, and on China, Casper said he left a March visit "incrementally more positive," though the company is "not assuming any meaningful growth coming out of China this year." Any incremental commentary on NIH funding flows or China stabilization will move sentiment given how much of the 2026 bear case rests on these two variables.</w:t>
      </w:r>
    </w:p>
    <w:p>
      <w:pPr>
        <w:pStyle w:val="BodyText"/>
      </w:pPr>
      <w:r>
        <w:rPr>
          <w:b/>
          <w:bCs/>
        </w:rPr>
        <w:t xml:space="preserve">f) Tariffs, inflation, and margin bridge.</w:t>
      </w:r>
      <w:r>
        <w:t xml:space="preserve"> </w:t>
      </w:r>
      <w:r>
        <w:t xml:space="preserve">Q1 adjusted operating margin absorbed roughly 80 basis points of tariff/FX headwind, and guidance embeds a placeholder for potential further inflation (partly tied to oil/logistics costs) that management said it is "actively working to mitigate." With oil prices recently spiking on Middle East tensions and fresh tariff escalation threats in the pharma/generics space (the White House has floated tariffs as high as 100–200% on non-reshored generic drug manufacturing), investors should listen for whether management's inflation cushion is being drawn down, held, or released back to EPS — a dynamic Casper described as flowing straight to the bottom line if inflation proves "relatively modest."</w:t>
      </w:r>
    </w:p>
    <w:p>
      <w:pPr>
        <w:pStyle w:val="BodyText"/>
      </w:pPr>
      <w:r>
        <w:rPr>
          <w:b/>
          <w:bCs/>
        </w:rPr>
        <w:t xml:space="preserve">g) U.S. reshoring / bioproduction capacity tailwind.</w:t>
      </w:r>
      <w:r>
        <w:t xml:space="preserve"> </w:t>
      </w:r>
      <w:r>
        <w:t xml:space="preserve">Management continues to frame the ~$0.5 trillion of announced U.S. pharma manufacturing investment as a 2027–2028 tailwind, with early wins already flowing through the CDMO business (e.g., the SHL Medical collaboration and the Ridgefield, NJ fill-finish site) ahead of a broader bioproduction/instruments benefit. Watch for updated color on contracted, well-visible capacity coming online, which management has said gives it confidence in "stronger and sustainable organic growth in the back half of this year and beyond" for Pharma Services.</w:t>
      </w:r>
    </w:p>
    <w:p>
      <w:pPr>
        <w:pStyle w:val="BodyText"/>
      </w:pPr>
      <w:r>
        <w:rPr>
          <w:b/>
          <w:bCs/>
        </w:rPr>
        <w:t xml:space="preserve">h) AI as a demand driver and internal productivity lever.</w:t>
      </w:r>
      <w:r>
        <w:t xml:space="preserve"> </w:t>
      </w:r>
      <w:r>
        <w:t xml:space="preserve">Thermo Fisher has been vocal about AI as a net positive for its end markets (more wet-lab validation, more experimentation to build biological models, faster/better clinical trials) and has struck partnerships with NVIDIA and OpenAI. Internally, PPI Business System initiatives increasingly lean on AI to decouple headcount growth from volume growth — a lever for margin expansion beyond the stated 40–50 bps/year long-term target. Expect further updates on autonomous-instrument rollouts (first version expected H2 2026) and AI-enabled clinical forecasting tools layered onto the Clario data set.</w:t>
      </w:r>
    </w:p>
    <w:bookmarkEnd w:id="12"/>
    <w:bookmarkStart w:id="13" w:name="Xd71e3c7015b7dedb76c246f9a911ed17d5d4c8e"/>
    <w:p>
      <w:pPr>
        <w:pStyle w:val="Heading2"/>
      </w:pPr>
      <w:r>
        <w:t xml:space="preserve">5. Longer-Term Framework (from May 2026 Investor Day)</w:t>
      </w:r>
    </w:p>
    <w:p>
      <w:pPr>
        <w:pStyle w:val="FirstParagraph"/>
      </w:pPr>
      <w:r>
        <w:t xml:space="preserve">At its May 20 Investor Day, management reaffirmed the multi-year algorithm: 3%–6% organic revenue growth through 2026–2027, stepping up to a</w:t>
      </w:r>
      <w:r>
        <w:t xml:space="preserve"> </w:t>
      </w:r>
      <w:r>
        <w:rPr>
          <w:b/>
          <w:bCs/>
        </w:rPr>
        <w:t xml:space="preserve">7% long-term organic revenue CAGR</w:t>
      </w:r>
      <w:r>
        <w:t xml:space="preserve"> </w:t>
      </w:r>
      <w:r>
        <w:t xml:space="preserve">from 2028 onward, alongside 40–50 bps of annual margin expansion and low-teens adjusted EPS/free cash flow growth over time, underpinned by continued capital deployment (roughly two-thirds toward M&amp;A, one-third toward buybacks/dividends). Management characterized end-market conditions as "progressing exactly as expected," which it framed as a risk-reducing signal for the multi-year targets. Any Q2 commentary that either reaffirms or tweaks this framework — particularly the 2027 organic growth trajectory analysts will start modeling more explicitly — is worth watching.</w:t>
      </w:r>
    </w:p>
    <w:bookmarkEnd w:id="13"/>
    <w:bookmarkStart w:id="14" w:name="X689ffae47685649dad1a9be420fc425ad9b43ce"/>
    <w:p>
      <w:pPr>
        <w:pStyle w:val="Heading2"/>
      </w:pPr>
      <w:r>
        <w:t xml:space="preserve">6. Valuation and Sentiment Snapshot</w:t>
      </w:r>
    </w:p>
    <w:p>
      <w:pPr>
        <w:pStyle w:val="FirstParagraph"/>
      </w:pPr>
      <w:r>
        <w:t xml:space="preserve">Analyst sentiment remains largely positive on a medium-term view: coverage skews heavily to Buy ratings, though average price targets have been trimmed somewhat over the past three months alongside the broader life-science tools sector de-rating. TMO currently trades at a discount to its own 5-year average multiple, which bulls argue reflects an overly pessimistic read on the recovery path, while bears point to NIH/academic funding uncertainty, China softness, and Clario integration risk as reasons for caution until organic growth durably re-accelerates above 3%.</w:t>
      </w:r>
    </w:p>
    <w:bookmarkEnd w:id="14"/>
    <w:bookmarkStart w:id="15" w:name="Xc159c36a8ee8b6440915dc717dc36e2a2dbbec9"/>
    <w:p>
      <w:pPr>
        <w:pStyle w:val="Heading2"/>
      </w:pPr>
      <w:r>
        <w:t xml:space="preserve">7. Bottom Line Going Into Tomorrow</w:t>
      </w:r>
    </w:p>
    <w:p>
      <w:pPr>
        <w:pStyle w:val="FirstParagraph"/>
      </w:pPr>
      <w:r>
        <w:t xml:space="preserve">The bar for Q2 is fairly well-defined and largely self-set: ~3% organic growth, adjusted EPS roughly</w:t>
      </w:r>
      <w:r>
        <w:t xml:space="preserve"> </w:t>
      </w:r>
      <m:oMath>
        <m:r>
          <m:t>0.25</m:t>
        </m:r>
        <m:r>
          <m:rPr>
            <m:sty m:val="p"/>
          </m:rPr>
          <m:t>–</m:t>
        </m:r>
      </m:oMath>
      <w:r>
        <w:t xml:space="preserve">0.30 above Q1's</w:t>
      </w:r>
      <w:r>
        <w:t xml:space="preserve"> </w:t>
      </w:r>
      <m:oMath>
        <m:r>
          <m:t>5.44</m:t>
        </m:r>
        <m:r>
          <m:rPr>
            <m:sty m:val="p"/>
          </m:rPr>
          <m:t>(</m:t>
        </m:r>
        <m:r>
          <m:t>i</m:t>
        </m:r>
        <m:r>
          <m:rPr>
            <m:sty m:val="p"/>
          </m:rPr>
          <m:t>.</m:t>
        </m:r>
        <m:r>
          <m:t>e</m:t>
        </m:r>
        <m:r>
          <m:rPr>
            <m:sty m:val="p"/>
          </m:rPr>
          <m:t>.</m:t>
        </m:r>
        <m:r>
          <m:rPr>
            <m:sty m:val="p"/>
          </m:rPr>
          <m:t>,</m:t>
        </m:r>
        <m:r>
          <m:t> </m:t>
        </m:r>
      </m:oMath>
      <w:r>
        <w:t xml:space="preserve">5.69–</w:t>
      </w:r>
      <m:oMath>
        <m:r>
          <m:t>5.74</m:t>
        </m:r>
        <m:r>
          <m:rPr>
            <m:sty m:val="p"/>
          </m:rPr>
          <m:t>,</m:t>
        </m:r>
        <m:r>
          <m:t>e</m:t>
        </m:r>
        <m:r>
          <m:t>s</m:t>
        </m:r>
        <m:r>
          <m:t>s</m:t>
        </m:r>
        <m:r>
          <m:t>e</m:t>
        </m:r>
        <m:r>
          <m:t>n</m:t>
        </m:r>
        <m:r>
          <m:t>t</m:t>
        </m:r>
        <m:r>
          <m:t>i</m:t>
        </m:r>
        <m:r>
          <m:t>a</m:t>
        </m:r>
        <m:r>
          <m:t>l</m:t>
        </m:r>
        <m:r>
          <m:t>l</m:t>
        </m:r>
        <m:r>
          <m:t>y</m:t>
        </m:r>
        <m:r>
          <m:t>m</m:t>
        </m:r>
        <m:r>
          <m:t>a</m:t>
        </m:r>
        <m:r>
          <m:t>t</m:t>
        </m:r>
        <m:r>
          <m:t>c</m:t>
        </m:r>
        <m:r>
          <m:t>h</m:t>
        </m:r>
        <m:r>
          <m:t>i</m:t>
        </m:r>
        <m:r>
          <m:t>n</m:t>
        </m:r>
        <m:r>
          <m:t>g</m:t>
        </m:r>
        <m:r>
          <m:t>S</m:t>
        </m:r>
        <m:r>
          <m:t>t</m:t>
        </m:r>
        <m:r>
          <m:t>r</m:t>
        </m:r>
        <m:r>
          <m:t>e</m:t>
        </m:r>
        <m:r>
          <m:t>e</m:t>
        </m:r>
        <m:r>
          <m:t>t</m:t>
        </m:r>
        <m:r>
          <m:t>c</m:t>
        </m:r>
        <m:r>
          <m:t>o</m:t>
        </m:r>
        <m:r>
          <m:t>n</m:t>
        </m:r>
        <m:r>
          <m:t>s</m:t>
        </m:r>
        <m:r>
          <m:t>e</m:t>
        </m:r>
        <m:r>
          <m:t>n</m:t>
        </m:r>
        <m:r>
          <m:t>s</m:t>
        </m:r>
        <m:r>
          <m:t>u</m:t>
        </m:r>
        <m:r>
          <m:t>s</m:t>
        </m:r>
        <m:r>
          <m:t>o</m:t>
        </m:r>
        <m:r>
          <m:t>f</m:t>
        </m:r>
        <m:r>
          <m:t> </m:t>
        </m:r>
      </m:oMath>
      <w:r>
        <w:t xml:space="preserve">5.71–$5.77), and confirmation that the full-year</w:t>
      </w:r>
      <w:r>
        <w:t xml:space="preserve"> </w:t>
      </w:r>
      <m:oMath>
        <m:r>
          <m:t>47.3</m:t>
        </m:r>
        <m:r>
          <m:rPr>
            <m:sty m:val="p"/>
          </m:rPr>
          <m:t>–</m:t>
        </m:r>
      </m:oMath>
      <w:r>
        <w:t xml:space="preserve">48.1 billion revenue /</w:t>
      </w:r>
      <w:r>
        <w:t xml:space="preserve"> </w:t>
      </w:r>
      <m:oMath>
        <m:r>
          <m:t>24.64</m:t>
        </m:r>
        <m:r>
          <m:rPr>
            <m:sty m:val="p"/>
          </m:rPr>
          <m:t>–</m:t>
        </m:r>
      </m:oMath>
      <w:r>
        <w:t xml:space="preserve">25.12 adjusted EPS guidance remains intact or gets nudged higher. Given Thermo Fisher's track record of beating and raising, the more important signals for the stock will likely be qualitative: commentary on Pharma &amp; Biotech momentum (bioproduction, clinical research authorizations), any incremental stabilization in academic/government funding and China, the financial mechanics of the microbiology divestiture, and reassurance that tariff/inflation headwinds remain contained within the existing guidance cushion.</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2026-07-23T00:34:35Z</dcterms:created>
  <dcterms:modified xsi:type="dcterms:W3CDTF">2026-07-23T00:34:35Z</dcterms:modified>
</cp:coreProperties>
</file>

<file path=docProps/custom.xml><?xml version="1.0" encoding="utf-8"?>
<Properties xmlns="http://schemas.openxmlformats.org/officeDocument/2006/custom-properties" xmlns:vt="http://schemas.openxmlformats.org/officeDocument/2006/docPropsVTypes"/>
</file>