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tmo-q2-2026-earnings-preview"/>
    <w:p>
      <w:pPr>
        <w:pStyle w:val="Heading1"/>
      </w:pPr>
      <w:r>
        <w:t xml:space="preserve">TMO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Thermo Fisher is scheduled to release results</w:t>
      </w:r>
      <w:r>
        <w:t xml:space="preserve"> </w:t>
      </w:r>
      <w:r>
        <w:rPr>
          <w:b/>
          <w:bCs/>
        </w:rPr>
        <w:t xml:space="preserve">before the market opens today, Thursday, July 23, 2026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—not tomorrow. As of this preview’s research cutoff, the Q2 release was not yet available. (</w:t>
      </w:r>
      <w:hyperlink r:id="rId9">
        <w:r>
          <w:rPr>
            <w:rStyle w:val="Hyperlink"/>
          </w:rPr>
          <w:t xml:space="preserve">ir.thermofisher.com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headline numbers matter, but the stock’s reaction will probably hinge on three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organic growth accelerate to roughly 3% as promised?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management preserve its margin-expansion plan despite tariffs, inflation and mix pressure?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second-half outlook still support 3%–4% full-year organic growth without requiring an aggressive Q4 finish?</w:t>
      </w:r>
    </w:p>
    <w:p>
      <w:pPr>
        <w:pStyle w:val="FirstParagraph"/>
      </w:pPr>
      <w:r>
        <w:t xml:space="preserve">The setup is balanced. Pharma and biotech trends—especially bioproduction, clinical research and laboratory distribution—appear constructive. Conversely, academic/government demand, China and capital-equipment spending remain the weak links. Clario adds attractive growth but also makes reported revenue less useful as an indicator of the underlying business.</w:t>
      </w:r>
    </w:p>
    <w:p>
      <w:pPr>
        <w:pStyle w:val="BodyText"/>
      </w:pPr>
      <w:r>
        <w:t xml:space="preserve">A modest EPS beat accompanied by cautious organic-growth commentary may not be enough. Investors need evidence that TMO’s underlying growth rate is moving higher.</w:t>
      </w:r>
    </w:p>
    <w:p>
      <w:r>
        <w:pict>
          <v:rect style="width:0;height:1.5pt" o:hralign="center" o:hrstd="t" o:hr="t"/>
        </w:pict>
      </w:r>
    </w:p>
    <w:bookmarkEnd w:id="10"/>
    <w:bookmarkStart w:id="13" w:name="consensus-and-managements-q2-framework"/>
    <w:p>
      <w:pPr>
        <w:pStyle w:val="Heading2"/>
      </w:pPr>
      <w:r>
        <w:t xml:space="preserve">Consensus and management’s Q2 framework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~$11.70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$10.86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About 3%</w:t>
            </w:r>
            <w:r>
              <w:t xml:space="preserve"> </w:t>
            </w:r>
            <w:r>
              <w:t xml:space="preserve">management assumption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Consensus sources place adjusted EPS at approximately</w:t>
      </w:r>
      <w:r>
        <w:t xml:space="preserve"> </w:t>
      </w:r>
      <m:oMath>
        <m:r>
          <m:t>5.71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11.70–$11.71 billion</w:t>
      </w:r>
      <w:r>
        <w:t xml:space="preserve">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The EPS estimate sits near the center of management’s prior Q2 framework: Q1 adjusted EPS of $5.44 plus an expected sequential increase of</w:t>
      </w:r>
      <w:r>
        <w:t xml:space="preserve"> </w:t>
      </w:r>
      <m:oMath>
        <m:r>
          <m:t>0.25</m:t>
        </m:r>
        <m:r>
          <m:rPr>
            <m:sty m:val="p"/>
          </m:rPr>
          <m:t>–</m:t>
        </m:r>
      </m:oMath>
      <w:r>
        <w:t xml:space="preserve">0.30. Consequently, merely reporting $5.71 would be an in-line outcome rather than a positive surprise.</w:t>
      </w:r>
    </w:p>
    <w:bookmarkStart w:id="12" w:name="full-year-baseline-entering-the-report"/>
    <w:p>
      <w:pPr>
        <w:pStyle w:val="Heading3"/>
      </w:pPr>
      <w:r>
        <w:t xml:space="preserve">Full-year baseline entering the report</w:t>
      </w:r>
    </w:p>
    <w:p>
      <w:pPr>
        <w:pStyle w:val="FirstParagraph"/>
      </w:pPr>
      <w:r>
        <w:t xml:space="preserve">TMO’s existing 2026 outlook calls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47.3</m:t>
        </m:r>
        <m:r>
          <m:rPr>
            <m:sty m:val="p"/>
          </m:rPr>
          <m:t>–</m:t>
        </m:r>
      </m:oMath>
      <w:r>
        <w:t xml:space="preserve">48.1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growth:</w:t>
      </w:r>
      <w:r>
        <w:t xml:space="preserve"> </w:t>
      </w:r>
      <w:r>
        <w:t xml:space="preserve">3%–4%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24.64</m:t>
        </m:r>
        <m:r>
          <m:rPr>
            <m:sty m:val="p"/>
          </m:rPr>
          <m:t>–</m:t>
        </m:r>
      </m:oMath>
      <w:r>
        <w:t xml:space="preserve">25.12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operating-margin expansion:</w:t>
      </w:r>
      <w:r>
        <w:t xml:space="preserve"> </w:t>
      </w:r>
      <w:r>
        <w:t xml:space="preserve">approximately 70 basis points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Free cash flow:</w:t>
      </w:r>
      <w:r>
        <w:t xml:space="preserve"> </w:t>
      </w:r>
      <m:oMath>
        <m:r>
          <m:t>6.9</m:t>
        </m:r>
        <m:r>
          <m:rPr>
            <m:sty m:val="p"/>
          </m:rPr>
          <m:t>–</m:t>
        </m:r>
      </m:oMath>
      <w:r>
        <w:t xml:space="preserve">7.4 billion</w:t>
      </w:r>
    </w:p>
    <w:p>
      <w:pPr>
        <w:pStyle w:val="FirstParagraph"/>
      </w:pPr>
      <w:r>
        <w:t xml:space="preserve">At</w:t>
      </w:r>
      <w:r>
        <w:t xml:space="preserve"> </w:t>
      </w:r>
      <m:oMath>
        <m:r>
          <m:t>5.71</m:t>
        </m:r>
        <m:r>
          <m:t>o</m:t>
        </m:r>
        <m:r>
          <m:t>f</m:t>
        </m:r>
        <m:r>
          <m:t>Q</m:t>
        </m:r>
        <m:r>
          <m:t>2</m:t>
        </m:r>
        <m:r>
          <m:t>E</m:t>
        </m:r>
        <m:r>
          <m:t>P</m:t>
        </m:r>
        <m:r>
          <m:t>S</m:t>
        </m:r>
        <m:r>
          <m:rPr>
            <m:sty m:val="p"/>
          </m:rPr>
          <m:t>,</m:t>
        </m:r>
        <m:r>
          <m:t>T</m:t>
        </m:r>
        <m:r>
          <m:t>M</m:t>
        </m:r>
        <m:r>
          <m:t>O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h</m:t>
        </m:r>
        <m:r>
          <m:t>a</m:t>
        </m:r>
        <m:r>
          <m:t>v</m:t>
        </m:r>
        <m:r>
          <m:t>e</m:t>
        </m:r>
        <m:r>
          <m:t>e</m:t>
        </m:r>
        <m:r>
          <m:t>a</m:t>
        </m:r>
        <m:r>
          <m:t>r</m:t>
        </m:r>
        <m:r>
          <m:t>n</m:t>
        </m:r>
        <m:r>
          <m:t>e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11.15 in the first half**, leaving</w:t>
      </w:r>
      <w:r>
        <w:t xml:space="preserve"> </w:t>
      </w:r>
      <m:oMath>
        <m:r>
          <m:t>13.49</m:t>
        </m:r>
        <m:r>
          <m:rPr>
            <m:sty m:val="p"/>
          </m:rPr>
          <m:t>–</m:t>
        </m:r>
      </m:oMath>
      <w:r>
        <w:rPr>
          <w:b/>
          <w:bCs/>
        </w:rPr>
        <w:t xml:space="preserve">13.97</w:t>
      </w:r>
      <w:r>
        <w:t xml:space="preserve"> </w:t>
      </w:r>
      <w:r>
        <w:t xml:space="preserve">required in the second half to achieve guidance. That ramp is achievable given normal seasonality, Clario and improving pharma-services revenue—but it leaves limited room for another end-market setback.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21" w:name="the-five-issues-that-matter-most"/>
    <w:p>
      <w:pPr>
        <w:pStyle w:val="Heading2"/>
      </w:pPr>
      <w:r>
        <w:t xml:space="preserve">The five issues that matter most</w:t>
      </w:r>
    </w:p>
    <w:bookmarkStart w:id="14" w:name="X632da5f790b35244629eafcecae5991cc400661"/>
    <w:p>
      <w:pPr>
        <w:pStyle w:val="Heading3"/>
      </w:pPr>
      <w:r>
        <w:t xml:space="preserve">1. Organic growth must show a clean acceleration</w:t>
      </w:r>
    </w:p>
    <w:p>
      <w:pPr>
        <w:pStyle w:val="FirstParagraph"/>
      </w:pPr>
      <w:r>
        <w:t xml:space="preserve">Q1 organic growth was only</w:t>
      </w:r>
      <w:r>
        <w:t xml:space="preserve"> </w:t>
      </w:r>
      <w:r>
        <w:rPr>
          <w:b/>
          <w:bCs/>
        </w:rPr>
        <w:t xml:space="preserve">1%</w:t>
      </w:r>
      <w:r>
        <w:t xml:space="preserve">, although management attributed roughly one percentage point each to fewer selling days and pharma-services revenue timing. The company said those effects should ease in Q2, producing organic growth of about 3%.</w:t>
      </w:r>
    </w:p>
    <w:p>
      <w:pPr>
        <w:pStyle w:val="BodyText"/>
      </w:pPr>
      <w:r>
        <w:t xml:space="preserve">A reported result near 3% would validate the bridge.</w:t>
      </w:r>
      <w:r>
        <w:t xml:space="preserve"> </w:t>
      </w:r>
      <w:r>
        <w:rPr>
          <w:b/>
          <w:bCs/>
        </w:rPr>
        <w:t xml:space="preserve">Anything below roughly 2.5% would revive concerns that the recovery is taking longer than management expected.</w:t>
      </w:r>
    </w:p>
    <w:p>
      <w:pPr>
        <w:pStyle w:val="BodyText"/>
      </w:pPr>
      <w:r>
        <w:t xml:space="preserve">The composition will matter:</w:t>
      </w:r>
    </w:p>
    <w:p>
      <w:pPr>
        <w:pStyle w:val="Compact"/>
        <w:numPr>
          <w:ilvl w:val="0"/>
          <w:numId w:val="1003"/>
        </w:numPr>
      </w:pPr>
      <w:r>
        <w:t xml:space="preserve">Sustainable growth from bioproduction, clinical research and recurring consumables is positive.</w:t>
      </w:r>
    </w:p>
    <w:p>
      <w:pPr>
        <w:pStyle w:val="Compact"/>
        <w:numPr>
          <w:ilvl w:val="0"/>
          <w:numId w:val="1003"/>
        </w:numPr>
      </w:pPr>
      <w:r>
        <w:t xml:space="preserve">Growth driven predominantly by acquisitions, currency or project timing is less reassuring.</w:t>
      </w:r>
    </w:p>
    <w:p>
      <w:pPr>
        <w:pStyle w:val="Compact"/>
        <w:numPr>
          <w:ilvl w:val="0"/>
          <w:numId w:val="1003"/>
        </w:numPr>
      </w:pPr>
      <w:r>
        <w:t xml:space="preserve">Strong orders or backlog commentary could offset a modest revenue miss, particularly in pharma services and instruments.</w:t>
      </w:r>
    </w:p>
    <w:bookmarkEnd w:id="14"/>
    <w:bookmarkStart w:id="16" w:name="Xac2c61c064667bd427024e6242234d602243304"/>
    <w:p>
      <w:pPr>
        <w:pStyle w:val="Heading3"/>
      </w:pPr>
      <w:r>
        <w:t xml:space="preserve">2. Pharma and biotech should remain the primary engine</w:t>
      </w:r>
    </w:p>
    <w:p>
      <w:pPr>
        <w:pStyle w:val="FirstParagraph"/>
      </w:pPr>
      <w:r>
        <w:t xml:space="preserve">Pharma and biotech represented 57% of TMO’s revenue at its May Investor Day. Management described improving biotech funding, strong clinical-research authorizations and better demand from biotech customers, while maintaining a long-term target of 7% organic growth and low-teens adjusted EPS growth. (</w:t>
      </w:r>
      <w:hyperlink r:id="rId15">
        <w:r>
          <w:rPr>
            <w:rStyle w:val="Hyperlink"/>
          </w:rPr>
          <w:t xml:space="preserve">ir.thermofisher.com</w:t>
        </w:r>
      </w:hyperlink>
      <w:r>
        <w:t xml:space="preserve">)</w:t>
      </w:r>
    </w:p>
    <w:p>
      <w:pPr>
        <w:pStyle w:val="BodyText"/>
      </w:pPr>
      <w:r>
        <w:t xml:space="preserve">Key indicators include: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Bioproduction:</w:t>
      </w:r>
      <w:r>
        <w:t xml:space="preserve"> </w:t>
      </w:r>
      <w:r>
        <w:t xml:space="preserve">Is growth still strong, and are filtration and separation products gaining share?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PPD clinical research:</w:t>
      </w:r>
      <w:r>
        <w:t xml:space="preserve"> </w:t>
      </w:r>
      <w:r>
        <w:t xml:space="preserve">Are authorizations and the opportunity pipeline still growing?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Pharma services/CDMO:</w:t>
      </w:r>
      <w:r>
        <w:t xml:space="preserve"> </w:t>
      </w:r>
      <w:r>
        <w:t xml:space="preserve">Is contracted capacity coming online as planned?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Research and safety channel:</w:t>
      </w:r>
      <w:r>
        <w:t xml:space="preserve"> </w:t>
      </w:r>
      <w:r>
        <w:t xml:space="preserve">Are share gains continuing, and is early-stage biotech spending broadening?</w:t>
      </w:r>
    </w:p>
    <w:p>
      <w:pPr>
        <w:pStyle w:val="FirstParagraph"/>
      </w:pPr>
      <w:r>
        <w:t xml:space="preserve">Clinical-research authorizations are especially important because they provide forward visibility. Strong current revenue paired with weaker bookings would be a warning; continued bookings strength would support the 2027 growth thesis.</w:t>
      </w:r>
    </w:p>
    <w:bookmarkEnd w:id="16"/>
    <w:bookmarkStart w:id="17" w:name="Xd6ad61425904f5312af515fe49ce8d563d0ca21"/>
    <w:p>
      <w:pPr>
        <w:pStyle w:val="Heading3"/>
      </w:pPr>
      <w:r>
        <w:t xml:space="preserve">3. Analytical Instruments needs a better quarter</w:t>
      </w:r>
    </w:p>
    <w:p>
      <w:pPr>
        <w:pStyle w:val="FirstParagraph"/>
      </w:pPr>
      <w:r>
        <w:t xml:space="preserve">Analytical Instruments was the most obvious Q1 weak spot: organic revenue declined, reflecting muted academic and government demand in the United States and China. Management expected easier comparisons in Q2 and highlighted recent mass-spectrometry and cryo-electron-microscopy launches.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A return to positive organic growth—or at least a clear sequential improvement.</w:t>
      </w:r>
    </w:p>
    <w:p>
      <w:pPr>
        <w:pStyle w:val="Compact"/>
        <w:numPr>
          <w:ilvl w:val="0"/>
          <w:numId w:val="1005"/>
        </w:numPr>
      </w:pPr>
      <w:r>
        <w:t xml:space="preserve">Commentary on U.S. academic funding flows.</w:t>
      </w:r>
    </w:p>
    <w:p>
      <w:pPr>
        <w:pStyle w:val="Compact"/>
        <w:numPr>
          <w:ilvl w:val="0"/>
          <w:numId w:val="1005"/>
        </w:numPr>
      </w:pPr>
      <w:r>
        <w:t xml:space="preserve">China instrument orders and customer confidence.</w:t>
      </w:r>
    </w:p>
    <w:p>
      <w:pPr>
        <w:pStyle w:val="Compact"/>
        <w:numPr>
          <w:ilvl w:val="0"/>
          <w:numId w:val="1005"/>
        </w:numPr>
      </w:pPr>
      <w:r>
        <w:t xml:space="preserve">Semiconductor-related electron microscopy demand.</w:t>
      </w:r>
    </w:p>
    <w:p>
      <w:pPr>
        <w:pStyle w:val="Compact"/>
        <w:numPr>
          <w:ilvl w:val="0"/>
          <w:numId w:val="1005"/>
        </w:numPr>
      </w:pPr>
      <w:r>
        <w:t xml:space="preserve">Early reception to the products introduced around the June ASMS conference.</w:t>
      </w:r>
    </w:p>
    <w:p>
      <w:pPr>
        <w:pStyle w:val="FirstParagraph"/>
      </w:pPr>
      <w:r>
        <w:t xml:space="preserve">A weak instruments result would be more concerning if accompanied by lower orders. A revenue miss caused by shipment timing would be less significant if the order book remains healthy.</w:t>
      </w:r>
    </w:p>
    <w:bookmarkEnd w:id="17"/>
    <w:bookmarkStart w:id="18" w:name="X86094ee71c8bf7d9e3e85f00d32034bad91383d"/>
    <w:p>
      <w:pPr>
        <w:pStyle w:val="Heading3"/>
      </w:pPr>
      <w:r>
        <w:t xml:space="preserve">4. Margin execution is as important as revenue</w:t>
      </w:r>
    </w:p>
    <w:p>
      <w:pPr>
        <w:pStyle w:val="FirstParagraph"/>
      </w:pPr>
      <w:r>
        <w:t xml:space="preserve">Q1 adjusted operating margin was</w:t>
      </w:r>
      <w:r>
        <w:t xml:space="preserve"> </w:t>
      </w:r>
      <w:r>
        <w:rPr>
          <w:b/>
          <w:bCs/>
        </w:rPr>
        <w:t xml:space="preserve">21.8%</w:t>
      </w:r>
      <w:r>
        <w:t xml:space="preserve">, down 10 basis points year over year. Management said tariffs and related currency effects represented an approximately 80-basis-point Q1 headwind, largely offset by productivity.</w:t>
      </w:r>
    </w:p>
    <w:p>
      <w:pPr>
        <w:pStyle w:val="BodyText"/>
      </w:pPr>
      <w:r>
        <w:t xml:space="preserve">For Q2, watch whether:</w:t>
      </w:r>
    </w:p>
    <w:p>
      <w:pPr>
        <w:pStyle w:val="Compact"/>
        <w:numPr>
          <w:ilvl w:val="0"/>
          <w:numId w:val="1006"/>
        </w:numPr>
      </w:pPr>
      <w:r>
        <w:t xml:space="preserve">Tariff and logistics pressure is peaking or worsening.</w:t>
      </w:r>
    </w:p>
    <w:p>
      <w:pPr>
        <w:pStyle w:val="Compact"/>
        <w:numPr>
          <w:ilvl w:val="0"/>
          <w:numId w:val="1006"/>
        </w:numPr>
      </w:pPr>
      <w:r>
        <w:t xml:space="preserve">TMO’s PPI productivity system continues to offset inflation.</w:t>
      </w:r>
    </w:p>
    <w:p>
      <w:pPr>
        <w:pStyle w:val="Compact"/>
        <w:numPr>
          <w:ilvl w:val="0"/>
          <w:numId w:val="1006"/>
        </w:numPr>
      </w:pPr>
      <w:r>
        <w:t xml:space="preserve">Clario is accretive to consolidated margins as expected.</w:t>
      </w:r>
    </w:p>
    <w:p>
      <w:pPr>
        <w:pStyle w:val="Compact"/>
        <w:numPr>
          <w:ilvl w:val="0"/>
          <w:numId w:val="1006"/>
        </w:numPr>
      </w:pPr>
      <w:r>
        <w:t xml:space="preserve">Analytical Instruments margins recover with volume and mix.</w:t>
      </w:r>
    </w:p>
    <w:p>
      <w:pPr>
        <w:pStyle w:val="Compact"/>
        <w:numPr>
          <w:ilvl w:val="0"/>
          <w:numId w:val="1006"/>
        </w:numPr>
      </w:pPr>
      <w:r>
        <w:t xml:space="preserve">Management retains its roughly 70-basis-point full-year expansion target.</w:t>
      </w:r>
    </w:p>
    <w:p>
      <w:pPr>
        <w:pStyle w:val="FirstParagraph"/>
      </w:pPr>
      <w:r>
        <w:t xml:space="preserve">A quarter with 3% organic growth and solid margin expansion would be a high-quality result. Conversely, an EPS beat driven primarily by tax, interest or share count would carry less weight.</w:t>
      </w:r>
    </w:p>
    <w:bookmarkEnd w:id="18"/>
    <w:bookmarkStart w:id="20" w:name="Xb5f82bc65d83feb0f0fd7b314efb05d719e8899"/>
    <w:p>
      <w:pPr>
        <w:pStyle w:val="Heading3"/>
      </w:pPr>
      <w:r>
        <w:t xml:space="preserve">5. Separate the microbiology divestiture from the operating outlook</w:t>
      </w:r>
    </w:p>
    <w:p>
      <w:pPr>
        <w:pStyle w:val="FirstParagraph"/>
      </w:pPr>
      <w:r>
        <w:t xml:space="preserve">TMO agreed on April 27 to sell its microbiology business to Astorg for approximately</w:t>
      </w:r>
      <w:r>
        <w:t xml:space="preserve"> </w:t>
      </w:r>
      <m:oMath>
        <m:r>
          <m:t>1.075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645 million of 2025 revenue</w:t>
      </w:r>
      <w:r>
        <w:t xml:space="preserve">, sits within Specialty Diagnostics and is expected to close in the second half of 2026. TMO estimated the disposal would reduce adjusted EPS by approximately $0.15 in the first full year after closing. (</w:t>
      </w:r>
      <w:hyperlink r:id="rId19">
        <w:r>
          <w:rPr>
            <w:rStyle w:val="Hyperlink"/>
          </w:rPr>
          <w:t xml:space="preserve">ir.thermofisher.com</w:t>
        </w:r>
      </w:hyperlink>
      <w:r>
        <w:t xml:space="preserve">)</w:t>
      </w:r>
    </w:p>
    <w:p>
      <w:pPr>
        <w:pStyle w:val="BodyText"/>
      </w:pPr>
      <w:r>
        <w:t xml:space="preserve">Management said it would quantify the 2026 impact on this call. Investors should distinguish between: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mechanical guidance reduction</w:t>
      </w:r>
      <w:r>
        <w:t xml:space="preserve"> </w:t>
      </w:r>
      <w:r>
        <w:t xml:space="preserve">reflecting revenue and earnings removed after the transaction closes; and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fundamental reduction</w:t>
      </w:r>
      <w:r>
        <w:t xml:space="preserve"> </w:t>
      </w:r>
      <w:r>
        <w:t xml:space="preserve">caused by weaker ongoing operations.</w:t>
      </w:r>
    </w:p>
    <w:p>
      <w:pPr>
        <w:pStyle w:val="FirstParagraph"/>
      </w:pPr>
      <w:r>
        <w:t xml:space="preserve">The first is largely neutral economically and improves portfolio quality. The second would be negative.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segment-scorecard"/>
    <w:p>
      <w:pPr>
        <w:pStyle w:val="Heading2"/>
      </w:pPr>
      <w:r>
        <w:t xml:space="preserve">Segment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Q2 bias</w:t>
            </w:r>
          </w:p>
        </w:tc>
        <w:tc>
          <w:tcPr/>
          <w:p>
            <w:pPr>
              <w:pStyle w:val="Compact"/>
            </w:pPr>
            <w:r>
              <w:t xml:space="preserve">What to watch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Life Sciences Solutions</w:t>
            </w:r>
          </w:p>
        </w:tc>
        <w:tc>
          <w:tcPr/>
          <w:p>
            <w:pPr>
              <w:pStyle w:val="Compact"/>
            </w:pPr>
            <w:r>
              <w:t xml:space="preserve">Positive</w:t>
            </w:r>
          </w:p>
        </w:tc>
        <w:tc>
          <w:tcPr/>
          <w:p>
            <w:pPr>
              <w:pStyle w:val="Compact"/>
            </w:pPr>
            <w:r>
              <w:t xml:space="preserve">Bioproduction growth, filtration integration, research-reagent recovery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Analytical Instruments</w:t>
            </w:r>
          </w:p>
        </w:tc>
        <w:tc>
          <w:tcPr/>
          <w:p>
            <w:pPr>
              <w:pStyle w:val="Compact"/>
            </w:pPr>
            <w:r>
              <w:t xml:space="preserve">Mixed/improving</w:t>
            </w:r>
          </w:p>
        </w:tc>
        <w:tc>
          <w:tcPr/>
          <w:p>
            <w:pPr>
              <w:pStyle w:val="Compact"/>
            </w:pPr>
            <w:r>
              <w:t xml:space="preserve">U.S. and China academic demand, order growth, semiconductor and mass-spec strength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Specialty Diagnostics</w:t>
            </w:r>
          </w:p>
        </w:tc>
        <w:tc>
          <w:tcPr/>
          <w:p>
            <w:pPr>
              <w:pStyle w:val="Compact"/>
            </w:pPr>
            <w:r>
              <w:t xml:space="preserve">Stable</w:t>
            </w:r>
          </w:p>
        </w:tc>
        <w:tc>
          <w:tcPr/>
          <w:p>
            <w:pPr>
              <w:pStyle w:val="Compact"/>
            </w:pPr>
            <w:r>
              <w:t xml:space="preserve">Easier comparison, transplant diagnostics, microbiology divestiture treatment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Laboratory Products &amp; Biopharma Services</w:t>
            </w:r>
          </w:p>
        </w:tc>
        <w:tc>
          <w:tcPr/>
          <w:p>
            <w:pPr>
              <w:pStyle w:val="Compact"/>
            </w:pPr>
            <w:r>
              <w:t xml:space="preserve">Positive</w:t>
            </w:r>
          </w:p>
        </w:tc>
        <w:tc>
          <w:tcPr/>
          <w:p>
            <w:pPr>
              <w:pStyle w:val="Compact"/>
            </w:pPr>
            <w:r>
              <w:t xml:space="preserve">PPD authorizations, Clario integration, pharma-services ramp, channel share gains</w:t>
            </w:r>
          </w:p>
        </w:tc>
      </w:tr>
    </w:tbl>
    <w:p>
      <w:pPr>
        <w:pStyle w:val="BodyText"/>
      </w:pPr>
      <w:r>
        <w:t xml:space="preserve">Clario closed on March 24 for</w:t>
      </w:r>
      <w:r>
        <w:t xml:space="preserve"> </w:t>
      </w:r>
      <w:r>
        <w:rPr>
          <w:b/>
          <w:bCs/>
        </w:rPr>
        <w:t xml:space="preserve">$8.875 billion in cash</w:t>
      </w:r>
      <w:r>
        <w:t xml:space="preserve">, plus potential additional payments, and now resides in Laboratory Products and Biopharma Services. TMO expects the combination to produce approximately $175 million of adjusted operating-income synergies by year five, primarily through revenue opportunities. (</w:t>
      </w:r>
      <w:hyperlink r:id="rId22">
        <w:r>
          <w:rPr>
            <w:rStyle w:val="Hyperlink"/>
          </w:rPr>
          <w:t xml:space="preserve">ir.thermofisher.com</w:t>
        </w:r>
      </w:hyperlink>
      <w:r>
        <w:t xml:space="preserve">)</w:t>
      </w:r>
    </w:p>
    <w:p>
      <w:pPr>
        <w:pStyle w:val="BodyText"/>
      </w:pPr>
      <w:r>
        <w:t xml:space="preserve">The main Clario questions are not Q2 revenue—its contribution is largely understood—but customer reception, bookings, integration costs and confidence in cross-selling digital endpoint services through PPD.</w:t>
      </w:r>
    </w:p>
    <w:p>
      <w:r>
        <w:pict>
          <v:rect style="width:0;height:1.5pt" o:hralign="center" o:hrstd="t" o:hr="t"/>
        </w:pict>
      </w:r>
    </w:p>
    <w:bookmarkEnd w:id="23"/>
    <w:bookmarkStart w:id="27" w:name="stock-setup-and-likely-reaction-function"/>
    <w:p>
      <w:pPr>
        <w:pStyle w:val="Heading2"/>
      </w:pPr>
      <w:r>
        <w:t xml:space="preserve">Stock setup and likely reaction function</w:t>
      </w:r>
    </w:p>
    <w:p>
      <w:pPr>
        <w:pStyle w:val="FirstParagraph"/>
      </w:pPr>
      <w:r>
        <w:t xml:space="preserve">TMO closed July 22 at approximately</w:t>
      </w:r>
      <w:r>
        <w:t xml:space="preserve"> </w:t>
      </w:r>
      <w:r>
        <w:rPr>
          <w:b/>
          <w:bCs/>
        </w:rPr>
        <w:t xml:space="preserve">$526.50</w:t>
      </w:r>
      <w:r>
        <w:t xml:space="preserve">. That is:</w:t>
      </w:r>
    </w:p>
    <w:p>
      <w:pPr>
        <w:pStyle w:val="Compact"/>
        <w:numPr>
          <w:ilvl w:val="0"/>
          <w:numId w:val="1008"/>
        </w:numPr>
      </w:pPr>
      <w:r>
        <w:t xml:space="preserve">Down roughly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from the beginning of 2026.</w:t>
      </w:r>
    </w:p>
    <w:p>
      <w:pPr>
        <w:pStyle w:val="Compact"/>
        <w:numPr>
          <w:ilvl w:val="0"/>
          <w:numId w:val="1008"/>
        </w:numPr>
      </w:pPr>
      <w:r>
        <w:t xml:space="preserve">About</w:t>
      </w:r>
      <w:r>
        <w:t xml:space="preserve"> </w:t>
      </w:r>
      <w:r>
        <w:rPr>
          <w:b/>
          <w:bCs/>
        </w:rPr>
        <w:t xml:space="preserve">18% below</w:t>
      </w:r>
      <w:r>
        <w:t xml:space="preserve"> </w:t>
      </w:r>
      <w:r>
        <w:t xml:space="preserve">its January high.</w:t>
      </w:r>
    </w:p>
    <w:p>
      <w:pPr>
        <w:pStyle w:val="Compact"/>
        <w:numPr>
          <w:ilvl w:val="0"/>
          <w:numId w:val="1008"/>
        </w:numPr>
      </w:pPr>
      <w:r>
        <w:t xml:space="preserve">Up roughly</w:t>
      </w:r>
      <w:r>
        <w:t xml:space="preserve"> </w:t>
      </w:r>
      <w:r>
        <w:rPr>
          <w:b/>
          <w:bCs/>
        </w:rPr>
        <w:t xml:space="preserve">13%</w:t>
      </w:r>
      <w:r>
        <w:t xml:space="preserve"> </w:t>
      </w:r>
      <w:r>
        <w:t xml:space="preserve">from the close on its Q1 earnings date.</w:t>
      </w:r>
    </w:p>
    <w:p>
      <w:pPr>
        <w:pStyle w:val="FirstParagraph"/>
      </w:pPr>
      <w:r>
        <w:t xml:space="preserve">The Q1 reaction is instructive: shares fell approximately 9% on April 23 despite a headline beat and higher annual guidance. Investors appeared more concerned about the organic-growth ramp, end-market quality and the acquisition-adjusted outlook than the reported beat.</w:t>
      </w:r>
    </w:p>
    <w:p>
      <w:pPr>
        <w:pStyle w:val="BodyText"/>
      </w:pPr>
      <w:r>
        <w:t xml:space="preserve">That creates the following reaction framework:</w:t>
      </w:r>
    </w:p>
    <w:bookmarkStart w:id="24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9"/>
        </w:numPr>
      </w:pPr>
      <w:r>
        <w:t xml:space="preserve">Organic growth</w:t>
      </w:r>
      <w:r>
        <w:t xml:space="preserve"> </w:t>
      </w:r>
      <w:r>
        <w:rPr>
          <w:b/>
          <w:bCs/>
        </w:rPr>
        <w:t xml:space="preserve">above 3%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Broad strength across bioproduction, PPD and the channel.</w:t>
      </w:r>
    </w:p>
    <w:p>
      <w:pPr>
        <w:pStyle w:val="Compact"/>
        <w:numPr>
          <w:ilvl w:val="0"/>
          <w:numId w:val="1009"/>
        </w:numPr>
      </w:pPr>
      <w:r>
        <w:t xml:space="preserve">Analytical Instruments returns to growth with good orders.</w:t>
      </w:r>
    </w:p>
    <w:p>
      <w:pPr>
        <w:pStyle w:val="Compact"/>
        <w:numPr>
          <w:ilvl w:val="0"/>
          <w:numId w:val="1009"/>
        </w:numPr>
      </w:pPr>
      <w:r>
        <w:t xml:space="preserve">Margin expansion remains intact.</w:t>
      </w:r>
    </w:p>
    <w:p>
      <w:pPr>
        <w:pStyle w:val="Compact"/>
        <w:numPr>
          <w:ilvl w:val="0"/>
          <w:numId w:val="1009"/>
        </w:numPr>
      </w:pPr>
      <w:r>
        <w:t xml:space="preserve">Underlying guidance is raised or annual guidance is maintained after absorbing the microbiology sale.</w:t>
      </w:r>
    </w:p>
    <w:p>
      <w:pPr>
        <w:pStyle w:val="Compact"/>
        <w:numPr>
          <w:ilvl w:val="0"/>
          <w:numId w:val="1009"/>
        </w:numPr>
      </w:pPr>
      <w:r>
        <w:t xml:space="preserve">Management expresses increased confidence in the second-half ramp.</w:t>
      </w:r>
    </w:p>
    <w:bookmarkEnd w:id="24"/>
    <w:bookmarkStart w:id="25" w:name="neutral-outcome"/>
    <w:p>
      <w:pPr>
        <w:pStyle w:val="Heading3"/>
      </w:pPr>
      <w:r>
        <w:t xml:space="preserve">Neutral outcome</w:t>
      </w:r>
    </w:p>
    <w:p>
      <w:pPr>
        <w:pStyle w:val="Compact"/>
        <w:numPr>
          <w:ilvl w:val="0"/>
          <w:numId w:val="1010"/>
        </w:numPr>
      </w:pPr>
      <w:r>
        <w:t xml:space="preserve">Revenue and EPS approximately in line.</w:t>
      </w:r>
    </w:p>
    <w:p>
      <w:pPr>
        <w:pStyle w:val="Compact"/>
        <w:numPr>
          <w:ilvl w:val="0"/>
          <w:numId w:val="1010"/>
        </w:numPr>
      </w:pPr>
      <w:r>
        <w:t xml:space="preserve">Organic growth near 3%.</w:t>
      </w:r>
    </w:p>
    <w:p>
      <w:pPr>
        <w:pStyle w:val="Compact"/>
        <w:numPr>
          <w:ilvl w:val="0"/>
          <w:numId w:val="1010"/>
        </w:numPr>
      </w:pPr>
      <w:r>
        <w:t xml:space="preserve">Pharma/biotech strength offsets continued instrument softness.</w:t>
      </w:r>
    </w:p>
    <w:p>
      <w:pPr>
        <w:pStyle w:val="Compact"/>
        <w:numPr>
          <w:ilvl w:val="0"/>
          <w:numId w:val="1010"/>
        </w:numPr>
      </w:pPr>
      <w:r>
        <w:t xml:space="preserve">Guidance is reiterated on an underlying basis but mechanically adjusted for microbiology.</w:t>
      </w:r>
    </w:p>
    <w:p>
      <w:pPr>
        <w:pStyle w:val="Compact"/>
        <w:numPr>
          <w:ilvl w:val="0"/>
          <w:numId w:val="1010"/>
        </w:numPr>
      </w:pPr>
      <w:r>
        <w:t xml:space="preserve">No material change in margin assumptions.</w:t>
      </w:r>
    </w:p>
    <w:bookmarkEnd w:id="25"/>
    <w:bookmarkStart w:id="26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1"/>
        </w:numPr>
      </w:pPr>
      <w:r>
        <w:t xml:space="preserve">Organic growth below roughly 2%–2.5%.</w:t>
      </w:r>
    </w:p>
    <w:p>
      <w:pPr>
        <w:pStyle w:val="Compact"/>
        <w:numPr>
          <w:ilvl w:val="0"/>
          <w:numId w:val="1011"/>
        </w:numPr>
      </w:pPr>
      <w:r>
        <w:t xml:space="preserve">Analytical Instruments remains weak without order improvement.</w:t>
      </w:r>
    </w:p>
    <w:p>
      <w:pPr>
        <w:pStyle w:val="Compact"/>
        <w:numPr>
          <w:ilvl w:val="0"/>
          <w:numId w:val="1011"/>
        </w:numPr>
      </w:pPr>
      <w:r>
        <w:t xml:space="preserve">PPD authorizations or bioproduction growth decelerate.</w:t>
      </w:r>
    </w:p>
    <w:p>
      <w:pPr>
        <w:pStyle w:val="Compact"/>
        <w:numPr>
          <w:ilvl w:val="0"/>
          <w:numId w:val="1011"/>
        </w:numPr>
      </w:pPr>
      <w:r>
        <w:t xml:space="preserve">Inflation or tariffs force lower margin expectations.</w:t>
      </w:r>
    </w:p>
    <w:p>
      <w:pPr>
        <w:pStyle w:val="Compact"/>
        <w:numPr>
          <w:ilvl w:val="0"/>
          <w:numId w:val="1011"/>
        </w:numPr>
      </w:pPr>
      <w:r>
        <w:t xml:space="preserve">Guidance is reduced by more than the microbiology divestiture impact.</w:t>
      </w:r>
    </w:p>
    <w:p>
      <w:pPr>
        <w:pStyle w:val="Compact"/>
        <w:numPr>
          <w:ilvl w:val="0"/>
          <w:numId w:val="1011"/>
        </w:numPr>
      </w:pPr>
      <w:r>
        <w:t xml:space="preserve">Management becomes more dependent on Q4 growth to reach the annual target.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2"/>
        </w:numPr>
      </w:pPr>
      <w:r>
        <w:t xml:space="preserve">What was Q2 organic growth excluding selling-day and pharma-services timing effects?</w:t>
      </w:r>
    </w:p>
    <w:p>
      <w:pPr>
        <w:pStyle w:val="Compact"/>
        <w:numPr>
          <w:ilvl w:val="0"/>
          <w:numId w:val="1012"/>
        </w:numPr>
      </w:pPr>
      <w:r>
        <w:t xml:space="preserve">How did orders compare with revenue, particularly in Analytical Instruments?</w:t>
      </w:r>
    </w:p>
    <w:p>
      <w:pPr>
        <w:pStyle w:val="Compact"/>
        <w:numPr>
          <w:ilvl w:val="0"/>
          <w:numId w:val="1012"/>
        </w:numPr>
      </w:pPr>
      <w:r>
        <w:t xml:space="preserve">Are PPD authorizations still growing faster than recognized clinical-research revenue?</w:t>
      </w:r>
    </w:p>
    <w:p>
      <w:pPr>
        <w:pStyle w:val="Compact"/>
        <w:numPr>
          <w:ilvl w:val="0"/>
          <w:numId w:val="1012"/>
        </w:numPr>
      </w:pPr>
      <w:r>
        <w:t xml:space="preserve">Is biotech funding now translating into broader spending on instruments and research reagents?</w:t>
      </w:r>
    </w:p>
    <w:p>
      <w:pPr>
        <w:pStyle w:val="Compact"/>
        <w:numPr>
          <w:ilvl w:val="0"/>
          <w:numId w:val="1012"/>
        </w:numPr>
      </w:pPr>
      <w:r>
        <w:t xml:space="preserve">What portion of Clario’s expected growth is supported by current bookings?</w:t>
      </w:r>
    </w:p>
    <w:p>
      <w:pPr>
        <w:pStyle w:val="Compact"/>
        <w:numPr>
          <w:ilvl w:val="0"/>
          <w:numId w:val="1012"/>
        </w:numPr>
      </w:pPr>
      <w:r>
        <w:t xml:space="preserve">How much of the tariff and inflation headwind has already been mitigated?</w:t>
      </w:r>
    </w:p>
    <w:p>
      <w:pPr>
        <w:pStyle w:val="Compact"/>
        <w:numPr>
          <w:ilvl w:val="0"/>
          <w:numId w:val="1012"/>
        </w:numPr>
      </w:pPr>
      <w:r>
        <w:t xml:space="preserve">What is the exact 2026 revenue and EPS impact from the microbiology divestiture?</w:t>
      </w:r>
    </w:p>
    <w:p>
      <w:pPr>
        <w:pStyle w:val="Compact"/>
        <w:numPr>
          <w:ilvl w:val="0"/>
          <w:numId w:val="1012"/>
        </w:numPr>
      </w:pPr>
      <w:r>
        <w:t xml:space="preserve">Does management still expect stronger, sustainable pharma-services growth in the second half?</w:t>
      </w:r>
    </w:p>
    <w:p>
      <w:pPr>
        <w:pStyle w:val="Compact"/>
        <w:numPr>
          <w:ilvl w:val="0"/>
          <w:numId w:val="1012"/>
        </w:numPr>
      </w:pPr>
      <w:r>
        <w:t xml:space="preserve">Has China improved since Q1, remained stable or weakened?</w:t>
      </w:r>
    </w:p>
    <w:p>
      <w:pPr>
        <w:pStyle w:val="Compact"/>
        <w:numPr>
          <w:ilvl w:val="0"/>
          <w:numId w:val="1012"/>
        </w:numPr>
      </w:pPr>
      <w:r>
        <w:t xml:space="preserve">What would prevent TMO from reaching the upper half of its full-year EPS range?</w:t>
      </w:r>
    </w:p>
    <w:p>
      <w:r>
        <w:pict>
          <v:rect style="width:0;height:1.5pt" o:hralign="center" o:hrstd="t" o:hr="t"/>
        </w:pict>
      </w:r>
    </w:p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cleanest positive signal would be approximately 3% or better organic growth, broad pharma-and-biotech strength, improving instrument orders and unchanged underlying full-year guidance.</w:t>
      </w:r>
    </w:p>
    <w:p>
      <w:pPr>
        <w:pStyle w:val="BodyText"/>
      </w:pPr>
      <w:r>
        <w:t xml:space="preserve">Consensus already reflects management’s Q2 EPS framework, so a small headline beat is unlikely to drive the stock by itself. The report needs to strengthen confidence that TMO has moved from 1% Q1 organic growth toward a sustained mid-single-digit trajectory—and that the company can deliver that acceleration without sacrificing margins.</w:t>
      </w:r>
    </w:p>
    <w:p>
      <w:pPr>
        <w:pStyle w:val="BodyText"/>
      </w:pPr>
      <w:r>
        <w:t xml:space="preserve">The principal risk is not a one-quarter EPS miss. It is evidence that the expected recovery in instruments, pharma services or biotech spending has slipped again, making the second-half earnings ramp less credible.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r.thermofisher.com/investors/news-events/events/event-details/default.aspx" TargetMode="External" /><Relationship Type="http://schemas.openxmlformats.org/officeDocument/2006/relationships/hyperlink" Id="rId22" Target="https://ir.thermofisher.com/investors/news-events/news/news-details/2026/Thermo-Fisher-Scientific-Completes-Acquisition-of-Clario-Holdings-Inc-/default.aspx?utm_source=openai" TargetMode="External" /><Relationship Type="http://schemas.openxmlformats.org/officeDocument/2006/relationships/hyperlink" Id="rId15" Target="https://ir.thermofisher.com/investors/news-events/news/news-details/2026/Thermo-Fisher-Scientific-Highlights-Industry-Leadership-Growth-Outlook-and-Long-Term-Value-Creation-at-2026-Investor-Day/default.aspx?utm_source=openai" TargetMode="External" /><Relationship Type="http://schemas.openxmlformats.org/officeDocument/2006/relationships/hyperlink" Id="rId19" Target="https://ir.thermofisher.com/investors/news-events/news/news-details/2026/Thermo-Fisher-Scientific-Signs-Agreement-to-Sell-its-Microbiology-Business-to-Astorg/default.aspx?utm_source=openai" TargetMode="External" /><Relationship Type="http://schemas.openxmlformats.org/officeDocument/2006/relationships/hyperlink" Id="rId11" Target="https://www.barchart.com/stocks/quotes/TMO/earnings-estima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r.thermofisher.com/investors/news-events/events/event-details/default.aspx" TargetMode="External" /><Relationship Type="http://schemas.openxmlformats.org/officeDocument/2006/relationships/hyperlink" Id="rId22" Target="https://ir.thermofisher.com/investors/news-events/news/news-details/2026/Thermo-Fisher-Scientific-Completes-Acquisition-of-Clario-Holdings-Inc-/default.aspx?utm_source=openai" TargetMode="External" /><Relationship Type="http://schemas.openxmlformats.org/officeDocument/2006/relationships/hyperlink" Id="rId15" Target="https://ir.thermofisher.com/investors/news-events/news/news-details/2026/Thermo-Fisher-Scientific-Highlights-Industry-Leadership-Growth-Outlook-and-Long-Term-Value-Creation-at-2026-Investor-Day/default.aspx?utm_source=openai" TargetMode="External" /><Relationship Type="http://schemas.openxmlformats.org/officeDocument/2006/relationships/hyperlink" Id="rId19" Target="https://ir.thermofisher.com/investors/news-events/news/news-details/2026/Thermo-Fisher-Scientific-Signs-Agreement-to-Sell-its-Microbiology-Business-to-Astorg/default.aspx?utm_source=openai" TargetMode="External" /><Relationship Type="http://schemas.openxmlformats.org/officeDocument/2006/relationships/hyperlink" Id="rId11" Target="https://www.barchart.com/stocks/quotes/TMO/earnings-estima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2026-07-23T00:31:39Z</dcterms:created>
  <dcterms:modified xsi:type="dcterms:W3CDTF">2026-07-23T00:31:39Z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