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Thermo Fisher Scientific (TMO)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Thermo Fisher Scientific Inc.</w:t>
            </w:r>
          </w:p>
        </w:tc>
      </w:tr>
      <w:tr>
        <w:tc>
          <w:tcPr>
            <w:tcW w:type="dxa" w:w="4320"/>
          </w:tcPr>
          <w:p>
            <w:r>
              <w:rPr>
                <w:rFonts w:ascii="Calibri" w:hAnsi="Calibri"/>
                <w:b/>
                <w:sz w:val="22"/>
              </w:rPr>
              <w:t>Ticker</w:t>
            </w:r>
          </w:p>
        </w:tc>
        <w:tc>
          <w:tcPr>
            <w:tcW w:type="dxa" w:w="4320"/>
          </w:tcPr>
          <w:p>
            <w:r>
              <w:rPr>
                <w:rFonts w:ascii="Calibri" w:hAnsi="Calibri"/>
                <w:sz w:val="22"/>
              </w:rPr>
              <w:t>NYSE: TMO</w:t>
            </w:r>
          </w:p>
        </w:tc>
      </w:tr>
      <w:tr>
        <w:tc>
          <w:tcPr>
            <w:tcW w:type="dxa" w:w="4320"/>
          </w:tcPr>
          <w:p>
            <w:r>
              <w:rPr>
                <w:rFonts w:ascii="Calibri" w:hAnsi="Calibri"/>
                <w:b/>
                <w:sz w:val="22"/>
              </w:rPr>
              <w:t>Earnings Date</w:t>
            </w:r>
          </w:p>
        </w:tc>
        <w:tc>
          <w:tcPr>
            <w:tcW w:type="dxa" w:w="4320"/>
          </w:tcPr>
          <w:p>
            <w:r>
              <w:rPr>
                <w:rFonts w:ascii="Calibri" w:hAnsi="Calibri"/>
                <w:sz w:val="22"/>
              </w:rPr>
              <w:t>July 23, 2026 — Before Market Open</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Sector ETF Benchmark</w:t>
            </w:r>
          </w:p>
        </w:tc>
        <w:tc>
          <w:tcPr>
            <w:tcW w:type="dxa" w:w="4320"/>
          </w:tcPr>
          <w:p>
            <w:r>
              <w:rPr>
                <w:rFonts w:ascii="Calibri" w:hAnsi="Calibri"/>
                <w:sz w:val="22"/>
              </w:rPr>
              <w:t>XBI (SPDR S&amp;P Biotech ETF) — life sciences / biotech sub-sector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is a manageable bar after Q1’s beat, but the single biggest swing factor is whether organic growth is visibly accelerating toward the back-half ramp management has guided, particularly in pharma services and bioproduction.</w:t>
      </w:r>
    </w:p>
    <w:p>
      <w:r>
        <w:rPr>
          <w:rFonts w:ascii="Calibri" w:hAnsi="Calibri"/>
          <w:color w:val="525866"/>
          <w:sz w:val="22"/>
        </w:rPr>
        <w:t xml:space="preserve">Heading into Q2 2026, TMO faces a consensus estimate of ~$11.72B in revenue (+7.6% YoY) and $5.76 adjusted EPS (+6.5% YoY) — a bar that is achievable but not low, given Q1’s 1% organic growth print left investors skeptical about the trajectory. </w:t>
      </w:r>
      <w:r>
        <w:rPr>
          <w:rFonts w:ascii="Calibri" w:hAnsi="Calibri"/>
          <w:color w:val="525866"/>
          <w:sz w:val="22"/>
        </w:rPr>
        <w:t>Management guided Q2 organic growth at ~3%</w:t>
      </w:r>
      <w:r>
        <w:rPr>
          <w:rFonts w:ascii="Calibri" w:hAnsi="Calibri"/>
          <w:color w:val="525866"/>
          <w:sz w:val="22"/>
        </w:rPr>
        <w:t xml:space="preserve"> and adjusted EPS $0.25–$0.30 above Q1’s $5.44 (implying $5.69–$5.74), and the Investor Day on May 20 reaffirmed full-year guidance of 3%–4% organic growth and $24.64–$25.12 adjusted EPS with “very good visibility” to the sequential ramp — tone has been consistently confident since Q1. Estimate revisions have been essentially flat since the Q1 print, with Q2 consensus EPS barely moving ($5.77 vs. $5.77 at baseline), suggesting the Street is neither adding cushion nor cutting — a neutral setup that leaves the stock reactive to the actual organic growth number. TMO has rallied ~12.8% since Q1 earnings (roughly in line with XBI at +13.1% and well ahead of SPY at +5.5%), meaning the stock has partially priced in recovery but is not stretched at ~21x forward earnings, near the low end of its historical range. The key wildcard is </w:t>
      </w:r>
      <w:r>
        <w:rPr>
          <w:rFonts w:ascii="Calibri" w:hAnsi="Calibri"/>
          <w:b/>
          <w:color w:val="525866"/>
          <w:sz w:val="22"/>
        </w:rPr>
        <w:t>bioprocessing shipment timing</w:t>
      </w:r>
      <w:r>
        <w:rPr>
          <w:rFonts w:ascii="Calibri" w:hAnsi="Calibri"/>
          <w:color w:val="525866"/>
          <w:sz w:val="22"/>
        </w:rPr>
        <w:t xml:space="preserve"> — DHR’s Cytiva flagged ~$50–60M of chromatography resin push-outs in Q2 due to customer production schedule changes, a dynamic that could read through to TMO’s bioproduction line; any similar commentary would be the most likely source of a negative surprise.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Q2 organic growth of ~3% is achievable given the absence of Q1’s selling-day headwind and pharma services phasing tailwind, but the market will focus on whether the organic growth trajectory is visibly inflecting. </w:t>
      </w:r>
      <w:r>
        <w:rPr>
          <w:rFonts w:ascii="Calibri" w:hAnsi="Calibri"/>
          <w:color w:val="525866"/>
          <w:sz w:val="22"/>
        </w:rPr>
        <w:t>Adjusted EPS is the more predictable KPI given TMO’s consistent operational execution; organic revenue growth is the bigger swing factor for the stock reaction.</w:t>
      </w:r>
    </w:p>
    <w:p>
      <w:pPr>
        <w:pStyle w:val="Heading3"/>
      </w:pPr>
      <w:r>
        <w:rPr>
          <w:rFonts w:ascii="Calibri" w:hAnsi="Calibri"/>
          <w:b/>
          <w:color w:val="3B4259"/>
          <w:sz w:val="24"/>
        </w:rPr>
        <w:t>Table 1 — Q2 2026 Current Quarter Snapshot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Total Revenue ($B)</w:t>
            </w:r>
          </w:p>
        </w:tc>
        <w:tc>
          <w:tcPr>
            <w:tcW w:type="dxa" w:w="1234"/>
          </w:tcPr>
          <w:p>
            <w:r>
              <w:rPr>
                <w:rFonts w:ascii="Calibri" w:hAnsi="Calibri"/>
                <w:sz w:val="22"/>
              </w:rPr>
              <w:t>$11.01B</w:t>
            </w:r>
          </w:p>
        </w:tc>
        <w:tc>
          <w:tcPr>
            <w:tcW w:type="dxa" w:w="1234"/>
          </w:tcPr>
          <w:p>
            <w:r>
              <w:rPr>
                <w:rFonts w:ascii="Calibri" w:hAnsi="Calibri"/>
                <w:sz w:val="22"/>
              </w:rPr>
              <w:t>$10.86B</w:t>
            </w:r>
          </w:p>
        </w:tc>
        <w:tc>
          <w:tcPr>
            <w:tcW w:type="dxa" w:w="1234"/>
          </w:tcPr>
          <w:p>
            <w:r>
              <w:rPr>
                <w:rFonts w:ascii="Calibri" w:hAnsi="Calibri"/>
                <w:sz w:val="22"/>
              </w:rPr>
              <w:t>$11.72B</w:t>
            </w:r>
          </w:p>
        </w:tc>
        <w:tc>
          <w:tcPr>
            <w:tcW w:type="dxa" w:w="1234"/>
          </w:tcPr>
          <w:p>
            <w:r>
              <w:rPr>
                <w:rFonts w:ascii="Calibri" w:hAnsi="Calibri"/>
                <w:sz w:val="22"/>
              </w:rPr>
              <w:t>+8.0% YoY</w:t>
            </w:r>
          </w:p>
        </w:tc>
        <w:tc>
          <w:tcPr>
            <w:tcW w:type="dxa" w:w="1234"/>
          </w:tcPr>
          <w:p>
            <w:r>
              <w:rPr>
                <w:rFonts w:ascii="Calibri" w:hAnsi="Calibri"/>
                <w:sz w:val="22"/>
              </w:rPr>
              <w:t>~3% organic growth implied; FY $47.3B–$48.1B</w:t>
            </w:r>
          </w:p>
        </w:tc>
        <w:tc>
          <w:tcPr>
            <w:tcW w:type="dxa" w:w="1234"/>
          </w:tcPr>
          <w:p>
            <w:r>
              <w:rPr>
                <w:rFonts w:ascii="Calibri" w:hAnsi="Calibri"/>
                <w:sz w:val="22"/>
              </w:rPr>
              <w:t>~+0.1% above guidance midpoint</w:t>
            </w:r>
          </w:p>
        </w:tc>
      </w:tr>
      <w:tr>
        <w:tc>
          <w:tcPr>
            <w:tcW w:type="dxa" w:w="1234"/>
          </w:tcPr>
          <w:p>
            <w:r>
              <w:rPr>
                <w:rFonts w:ascii="Calibri" w:hAnsi="Calibri"/>
                <w:sz w:val="22"/>
              </w:rPr>
              <w:t>Organic Revenue Growth (%)</w:t>
            </w:r>
          </w:p>
        </w:tc>
        <w:tc>
          <w:tcPr>
            <w:tcW w:type="dxa" w:w="1234"/>
          </w:tcPr>
          <w:p>
            <w:r>
              <w:rPr>
                <w:rFonts w:ascii="Calibri" w:hAnsi="Calibri"/>
                <w:sz w:val="22"/>
              </w:rPr>
              <w:t>+1.0%</w:t>
            </w:r>
          </w:p>
        </w:tc>
        <w:tc>
          <w:tcPr>
            <w:tcW w:type="dxa" w:w="1234"/>
          </w:tcPr>
          <w:p>
            <w:r>
              <w:rPr>
                <w:rFonts w:ascii="Calibri" w:hAnsi="Calibri"/>
                <w:sz w:val="22"/>
              </w:rPr>
              <w:t>+2.0%</w:t>
            </w:r>
          </w:p>
        </w:tc>
        <w:tc>
          <w:tcPr>
            <w:tcW w:type="dxa" w:w="1234"/>
          </w:tcPr>
          <w:p>
            <w:r>
              <w:rPr>
                <w:rFonts w:ascii="Calibri" w:hAnsi="Calibri"/>
                <w:sz w:val="22"/>
              </w:rPr>
              <w:t>~+3.1%</w:t>
            </w:r>
          </w:p>
        </w:tc>
        <w:tc>
          <w:tcPr>
            <w:tcW w:type="dxa" w:w="1234"/>
          </w:tcPr>
          <w:p>
            <w:r>
              <w:rPr>
                <w:rFonts w:ascii="Calibri" w:hAnsi="Calibri"/>
                <w:sz w:val="22"/>
              </w:rPr>
              <w:t>+~110 bps YoY</w:t>
            </w:r>
          </w:p>
        </w:tc>
        <w:tc>
          <w:tcPr>
            <w:tcW w:type="dxa" w:w="1234"/>
          </w:tcPr>
          <w:p>
            <w:r>
              <w:rPr>
                <w:rFonts w:ascii="Calibri" w:hAnsi="Calibri"/>
                <w:sz w:val="22"/>
              </w:rPr>
              <w:t>~3% (Q1 earnings call)</w:t>
            </w:r>
          </w:p>
        </w:tc>
        <w:tc>
          <w:tcPr>
            <w:tcW w:type="dxa" w:w="1234"/>
          </w:tcPr>
          <w:p>
            <w:r>
              <w:rPr>
                <w:rFonts w:ascii="Calibri" w:hAnsi="Calibri"/>
                <w:sz w:val="22"/>
              </w:rPr>
              <w:t>~+10 bps above guidance midpoint</w:t>
            </w:r>
          </w:p>
        </w:tc>
      </w:tr>
      <w:tr>
        <w:tc>
          <w:tcPr>
            <w:tcW w:type="dxa" w:w="1234"/>
          </w:tcPr>
          <w:p>
            <w:r>
              <w:rPr>
                <w:rFonts w:ascii="Calibri" w:hAnsi="Calibri"/>
                <w:sz w:val="22"/>
              </w:rPr>
              <w:t>Adjusted EPS (Diluted-Operating)</w:t>
            </w:r>
          </w:p>
        </w:tc>
        <w:tc>
          <w:tcPr>
            <w:tcW w:type="dxa" w:w="1234"/>
          </w:tcPr>
          <w:p>
            <w:r>
              <w:rPr>
                <w:rFonts w:ascii="Calibri" w:hAnsi="Calibri"/>
                <w:sz w:val="22"/>
              </w:rPr>
              <w:t>$5.44</w:t>
            </w:r>
          </w:p>
        </w:tc>
        <w:tc>
          <w:tcPr>
            <w:tcW w:type="dxa" w:w="1234"/>
          </w:tcPr>
          <w:p>
            <w:r>
              <w:rPr>
                <w:rFonts w:ascii="Calibri" w:hAnsi="Calibri"/>
                <w:sz w:val="22"/>
              </w:rPr>
              <w:t>$5.36</w:t>
            </w:r>
          </w:p>
        </w:tc>
        <w:tc>
          <w:tcPr>
            <w:tcW w:type="dxa" w:w="1234"/>
          </w:tcPr>
          <w:p>
            <w:r>
              <w:rPr>
                <w:rFonts w:ascii="Calibri" w:hAnsi="Calibri"/>
                <w:sz w:val="22"/>
              </w:rPr>
              <w:t>$5.76</w:t>
            </w:r>
          </w:p>
        </w:tc>
        <w:tc>
          <w:tcPr>
            <w:tcW w:type="dxa" w:w="1234"/>
          </w:tcPr>
          <w:p>
            <w:r>
              <w:rPr>
                <w:rFonts w:ascii="Calibri" w:hAnsi="Calibri"/>
                <w:sz w:val="22"/>
              </w:rPr>
              <w:t>+7.5% YoY</w:t>
            </w:r>
          </w:p>
        </w:tc>
        <w:tc>
          <w:tcPr>
            <w:tcW w:type="dxa" w:w="1234"/>
          </w:tcPr>
          <w:p>
            <w:r>
              <w:rPr>
                <w:rFonts w:ascii="Calibri" w:hAnsi="Calibri"/>
                <w:sz w:val="22"/>
              </w:rPr>
              <w:t>$5.69–$5.74 (Q1 +$0.25 to +$0.30)</w:t>
            </w:r>
          </w:p>
        </w:tc>
        <w:tc>
          <w:tcPr>
            <w:tcW w:type="dxa" w:w="1234"/>
          </w:tcPr>
          <w:p>
            <w:r>
              <w:rPr>
                <w:rFonts w:ascii="Calibri" w:hAnsi="Calibri"/>
                <w:sz w:val="22"/>
              </w:rPr>
              <w:t>~+0.4% above guidance midpoint</w:t>
            </w:r>
          </w:p>
        </w:tc>
      </w:tr>
      <w:tr>
        <w:tc>
          <w:tcPr>
            <w:tcW w:type="dxa" w:w="1234"/>
          </w:tcPr>
          <w:p>
            <w:r>
              <w:rPr>
                <w:rFonts w:ascii="Calibri" w:hAnsi="Calibri"/>
                <w:sz w:val="22"/>
              </w:rPr>
              <w:t>Adjusted Operating Income ($B)</w:t>
            </w:r>
          </w:p>
        </w:tc>
        <w:tc>
          <w:tcPr>
            <w:tcW w:type="dxa" w:w="1234"/>
          </w:tcPr>
          <w:p>
            <w:r>
              <w:rPr>
                <w:rFonts w:ascii="Calibri" w:hAnsi="Calibri"/>
                <w:sz w:val="22"/>
              </w:rPr>
              <w:t>$2.399B</w:t>
            </w:r>
          </w:p>
        </w:tc>
        <w:tc>
          <w:tcPr>
            <w:tcW w:type="dxa" w:w="1234"/>
          </w:tcPr>
          <w:p>
            <w:r>
              <w:rPr>
                <w:rFonts w:ascii="Calibri" w:hAnsi="Calibri"/>
                <w:sz w:val="22"/>
              </w:rPr>
              <w:t>$2.375B</w:t>
            </w:r>
          </w:p>
        </w:tc>
        <w:tc>
          <w:tcPr>
            <w:tcW w:type="dxa" w:w="1234"/>
          </w:tcPr>
          <w:p>
            <w:r>
              <w:rPr>
                <w:rFonts w:ascii="Calibri" w:hAnsi="Calibri"/>
                <w:sz w:val="22"/>
              </w:rPr>
              <w:t>$2.606B</w:t>
            </w:r>
          </w:p>
        </w:tc>
        <w:tc>
          <w:tcPr>
            <w:tcW w:type="dxa" w:w="1234"/>
          </w:tcPr>
          <w:p>
            <w:r>
              <w:rPr>
                <w:rFonts w:ascii="Calibri" w:hAnsi="Calibri"/>
                <w:sz w:val="22"/>
              </w:rPr>
              <w:t>+9.7% YoY</w:t>
            </w:r>
          </w:p>
        </w:tc>
        <w:tc>
          <w:tcPr>
            <w:tcW w:type="dxa" w:w="1234"/>
          </w:tcPr>
          <w:p>
            <w:r>
              <w:rPr>
                <w:rFonts w:ascii="Calibri" w:hAnsi="Calibri"/>
                <w:sz w:val="22"/>
              </w:rPr>
              <w:t>70 bps margin expansion FY (incl. Clario)</w:t>
            </w:r>
          </w:p>
        </w:tc>
        <w:tc>
          <w:tcPr>
            <w:tcW w:type="dxa" w:w="1234"/>
          </w:tcPr>
          <w:p>
            <w:r>
              <w:rPr>
                <w:rFonts w:ascii="Calibri" w:hAnsi="Calibri"/>
                <w:sz w:val="22"/>
              </w:rPr>
              <w:t>N/A — no explicit Q2 AOI guidance</w:t>
            </w:r>
          </w:p>
        </w:tc>
      </w:tr>
      <w:tr>
        <w:tc>
          <w:tcPr>
            <w:tcW w:type="dxa" w:w="1234"/>
          </w:tcPr>
          <w:p>
            <w:r>
              <w:rPr>
                <w:rFonts w:ascii="Calibri" w:hAnsi="Calibri"/>
                <w:sz w:val="22"/>
              </w:rPr>
              <w:t>Adj. Gross Profit ($B)</w:t>
            </w:r>
          </w:p>
        </w:tc>
        <w:tc>
          <w:tcPr>
            <w:tcW w:type="dxa" w:w="1234"/>
          </w:tcPr>
          <w:p>
            <w:r>
              <w:rPr>
                <w:rFonts w:ascii="Calibri" w:hAnsi="Calibri"/>
                <w:sz w:val="22"/>
              </w:rPr>
              <w:t>$4.490B</w:t>
            </w:r>
          </w:p>
        </w:tc>
        <w:tc>
          <w:tcPr>
            <w:tcW w:type="dxa" w:w="1234"/>
          </w:tcPr>
          <w:p>
            <w:r>
              <w:rPr>
                <w:rFonts w:ascii="Calibri" w:hAnsi="Calibri"/>
                <w:sz w:val="22"/>
              </w:rPr>
              <w:t>$4.487B</w:t>
            </w:r>
          </w:p>
        </w:tc>
        <w:tc>
          <w:tcPr>
            <w:tcW w:type="dxa" w:w="1234"/>
          </w:tcPr>
          <w:p>
            <w:r>
              <w:rPr>
                <w:rFonts w:ascii="Calibri" w:hAnsi="Calibri"/>
                <w:sz w:val="22"/>
              </w:rPr>
              <w:t>$4.846B</w:t>
            </w:r>
          </w:p>
        </w:tc>
        <w:tc>
          <w:tcPr>
            <w:tcW w:type="dxa" w:w="1234"/>
          </w:tcPr>
          <w:p>
            <w:r>
              <w:rPr>
                <w:rFonts w:ascii="Calibri" w:hAnsi="Calibri"/>
                <w:sz w:val="22"/>
              </w:rPr>
              <w:t>+8.0% YoY</w:t>
            </w:r>
          </w:p>
        </w:tc>
        <w:tc>
          <w:tcPr>
            <w:tcW w:type="dxa" w:w="1234"/>
          </w:tcPr>
          <w:p>
            <w:r>
              <w:rPr>
                <w:rFonts w:ascii="Calibri" w:hAnsi="Calibri"/>
                <w:sz w:val="22"/>
              </w:rPr>
              <w:t>N/A — no explicit guidance</w:t>
            </w:r>
          </w:p>
        </w:tc>
        <w:tc>
          <w:tcPr>
            <w:tcW w:type="dxa" w:w="1234"/>
          </w:tcPr>
          <w:p>
            <w:r>
              <w:rPr>
                <w:rFonts w:ascii="Calibri" w:hAnsi="Calibri"/>
                <w:sz w:val="22"/>
              </w:rPr>
              <w:t>N/A</w:t>
            </w:r>
          </w:p>
        </w:tc>
      </w:tr>
      <w:tr>
        <w:tc>
          <w:tcPr>
            <w:tcW w:type="dxa" w:w="1234"/>
          </w:tcPr>
          <w:p>
            <w:r>
              <w:rPr>
                <w:rFonts w:ascii="Calibri" w:hAnsi="Calibri"/>
                <w:sz w:val="22"/>
              </w:rPr>
              <w:t>Life Sciences Solutions Revenue ($B)</w:t>
            </w:r>
          </w:p>
        </w:tc>
        <w:tc>
          <w:tcPr>
            <w:tcW w:type="dxa" w:w="1234"/>
          </w:tcPr>
          <w:p>
            <w:r>
              <w:rPr>
                <w:rFonts w:ascii="Calibri" w:hAnsi="Calibri"/>
                <w:sz w:val="22"/>
              </w:rPr>
              <w:t>$2.636B</w:t>
            </w:r>
          </w:p>
        </w:tc>
        <w:tc>
          <w:tcPr>
            <w:tcW w:type="dxa" w:w="1234"/>
          </w:tcPr>
          <w:p>
            <w:r>
              <w:rPr>
                <w:rFonts w:ascii="Calibri" w:hAnsi="Calibri"/>
                <w:sz w:val="22"/>
              </w:rPr>
              <w:t>$2.499B</w:t>
            </w:r>
          </w:p>
        </w:tc>
        <w:tc>
          <w:tcPr>
            <w:tcW w:type="dxa" w:w="1234"/>
          </w:tcPr>
          <w:p>
            <w:r>
              <w:rPr>
                <w:rFonts w:ascii="Calibri" w:hAnsi="Calibri"/>
                <w:sz w:val="22"/>
              </w:rPr>
              <w:t>$2.769B</w:t>
            </w:r>
          </w:p>
        </w:tc>
        <w:tc>
          <w:tcPr>
            <w:tcW w:type="dxa" w:w="1234"/>
          </w:tcPr>
          <w:p>
            <w:r>
              <w:rPr>
                <w:rFonts w:ascii="Calibri" w:hAnsi="Calibri"/>
                <w:sz w:val="22"/>
              </w:rPr>
              <w:t>+10.8% YoY</w:t>
            </w:r>
          </w:p>
        </w:tc>
        <w:tc>
          <w:tcPr>
            <w:tcW w:type="dxa" w:w="1234"/>
          </w:tcPr>
          <w:p>
            <w:r>
              <w:rPr>
                <w:rFonts w:ascii="Calibri" w:hAnsi="Calibri"/>
                <w:sz w:val="22"/>
              </w:rPr>
              <w:t>N/A — no explicit segment guidance</w:t>
            </w:r>
          </w:p>
        </w:tc>
        <w:tc>
          <w:tcPr>
            <w:tcW w:type="dxa" w:w="1234"/>
          </w:tcPr>
          <w:p>
            <w:r>
              <w:rPr>
                <w:rFonts w:ascii="Calibri" w:hAnsi="Calibri"/>
                <w:sz w:val="22"/>
              </w:rPr>
              <w:t>N/A</w:t>
            </w:r>
          </w:p>
        </w:tc>
      </w:tr>
      <w:tr>
        <w:tc>
          <w:tcPr>
            <w:tcW w:type="dxa" w:w="1234"/>
          </w:tcPr>
          <w:p>
            <w:r>
              <w:rPr>
                <w:rFonts w:ascii="Calibri" w:hAnsi="Calibri"/>
                <w:sz w:val="22"/>
              </w:rPr>
              <w:t>Clinical Research Revenue ($B)</w:t>
            </w:r>
          </w:p>
        </w:tc>
        <w:tc>
          <w:tcPr>
            <w:tcW w:type="dxa" w:w="1234"/>
          </w:tcPr>
          <w:p>
            <w:r>
              <w:rPr>
                <w:rFonts w:ascii="Calibri" w:hAnsi="Calibri"/>
                <w:sz w:val="22"/>
              </w:rPr>
              <w:t>$2.128B</w:t>
            </w:r>
          </w:p>
        </w:tc>
        <w:tc>
          <w:tcPr>
            <w:tcW w:type="dxa" w:w="1234"/>
          </w:tcPr>
          <w:p>
            <w:r>
              <w:rPr>
                <w:rFonts w:ascii="Calibri" w:hAnsi="Calibri"/>
                <w:sz w:val="22"/>
              </w:rPr>
              <w:t>$1.955B</w:t>
            </w:r>
          </w:p>
        </w:tc>
        <w:tc>
          <w:tcPr>
            <w:tcW w:type="dxa" w:w="1234"/>
          </w:tcPr>
          <w:p>
            <w:r>
              <w:rPr>
                <w:rFonts w:ascii="Calibri" w:hAnsi="Calibri"/>
                <w:sz w:val="22"/>
              </w:rPr>
              <w:t>$2.205B</w:t>
            </w:r>
          </w:p>
        </w:tc>
        <w:tc>
          <w:tcPr>
            <w:tcW w:type="dxa" w:w="1234"/>
          </w:tcPr>
          <w:p>
            <w:r>
              <w:rPr>
                <w:rFonts w:ascii="Calibri" w:hAnsi="Calibri"/>
                <w:sz w:val="22"/>
              </w:rPr>
              <w:t>+12.8% YoY</w:t>
            </w:r>
          </w:p>
        </w:tc>
        <w:tc>
          <w:tcPr>
            <w:tcW w:type="dxa" w:w="1234"/>
          </w:tcPr>
          <w:p>
            <w:r>
              <w:rPr>
                <w:rFonts w:ascii="Calibri" w:hAnsi="Calibri"/>
                <w:sz w:val="22"/>
              </w:rPr>
              <w:t>N/A — no explicit segment guidance</w:t>
            </w:r>
          </w:p>
        </w:tc>
        <w:tc>
          <w:tcPr>
            <w:tcW w:type="dxa" w:w="1234"/>
          </w:tcPr>
          <w:p>
            <w:r>
              <w:rPr>
                <w:rFonts w:ascii="Calibri" w:hAnsi="Calibri"/>
                <w:sz w:val="22"/>
              </w:rPr>
              <w:t>N/A</w:t>
            </w:r>
          </w:p>
        </w:tc>
      </w:tr>
      <w:tr>
        <w:tc>
          <w:tcPr>
            <w:tcW w:type="dxa" w:w="1234"/>
          </w:tcPr>
          <w:p>
            <w:r>
              <w:rPr>
                <w:rFonts w:ascii="Calibri" w:hAnsi="Calibri"/>
                <w:sz w:val="22"/>
              </w:rPr>
              <w:t>Pharma Services Revenue ($B)</w:t>
            </w:r>
          </w:p>
        </w:tc>
        <w:tc>
          <w:tcPr>
            <w:tcW w:type="dxa" w:w="1234"/>
          </w:tcPr>
          <w:p>
            <w:r>
              <w:rPr>
                <w:rFonts w:ascii="Calibri" w:hAnsi="Calibri"/>
                <w:sz w:val="22"/>
              </w:rPr>
              <w:t>$1.741B</w:t>
            </w:r>
          </w:p>
        </w:tc>
        <w:tc>
          <w:tcPr>
            <w:tcW w:type="dxa" w:w="1234"/>
          </w:tcPr>
          <w:p>
            <w:r>
              <w:rPr>
                <w:rFonts w:ascii="Calibri" w:hAnsi="Calibri"/>
                <w:sz w:val="22"/>
              </w:rPr>
              <w:t>$1.794B</w:t>
            </w:r>
          </w:p>
        </w:tc>
        <w:tc>
          <w:tcPr>
            <w:tcW w:type="dxa" w:w="1234"/>
          </w:tcPr>
          <w:p>
            <w:r>
              <w:rPr>
                <w:rFonts w:ascii="Calibri" w:hAnsi="Calibri"/>
                <w:sz w:val="22"/>
              </w:rPr>
              <w:t>$1.910B</w:t>
            </w:r>
          </w:p>
        </w:tc>
        <w:tc>
          <w:tcPr>
            <w:tcW w:type="dxa" w:w="1234"/>
          </w:tcPr>
          <w:p>
            <w:r>
              <w:rPr>
                <w:rFonts w:ascii="Calibri" w:hAnsi="Calibri"/>
                <w:sz w:val="22"/>
              </w:rPr>
              <w:t>+6.5% YoY</w:t>
            </w:r>
          </w:p>
        </w:tc>
        <w:tc>
          <w:tcPr>
            <w:tcW w:type="dxa" w:w="1234"/>
          </w:tcPr>
          <w:p>
            <w:r>
              <w:rPr>
                <w:rFonts w:ascii="Calibri" w:hAnsi="Calibri"/>
                <w:sz w:val="22"/>
              </w:rPr>
              <w:t>Much stronger H2 growth expected (phasing)</w:t>
            </w:r>
          </w:p>
        </w:tc>
        <w:tc>
          <w:tcPr>
            <w:tcW w:type="dxa" w:w="1234"/>
          </w:tcPr>
          <w:p>
            <w:r>
              <w:rPr>
                <w:rFonts w:ascii="Calibri" w:hAnsi="Calibri"/>
                <w:sz w:val="22"/>
              </w:rPr>
              <w:t>N/A</w:t>
            </w:r>
          </w:p>
        </w:tc>
      </w:tr>
      <w:tr>
        <w:tc>
          <w:tcPr>
            <w:tcW w:type="dxa" w:w="1234"/>
          </w:tcPr>
          <w:p>
            <w:r>
              <w:rPr>
                <w:rFonts w:ascii="Calibri" w:hAnsi="Calibri"/>
                <w:sz w:val="22"/>
              </w:rPr>
              <w:t>Analyst Free Cash Flow ($B)</w:t>
            </w:r>
          </w:p>
        </w:tc>
        <w:tc>
          <w:tcPr>
            <w:tcW w:type="dxa" w:w="1234"/>
          </w:tcPr>
          <w:p>
            <w:r>
              <w:rPr>
                <w:rFonts w:ascii="Calibri" w:hAnsi="Calibri"/>
                <w:sz w:val="22"/>
              </w:rPr>
              <w:t>$0.816B</w:t>
            </w:r>
          </w:p>
        </w:tc>
        <w:tc>
          <w:tcPr>
            <w:tcW w:type="dxa" w:w="1234"/>
          </w:tcPr>
          <w:p>
            <w:r>
              <w:rPr>
                <w:rFonts w:ascii="Calibri" w:hAnsi="Calibri"/>
                <w:sz w:val="22"/>
              </w:rPr>
              <w:t>$1.105B</w:t>
            </w:r>
          </w:p>
        </w:tc>
        <w:tc>
          <w:tcPr>
            <w:tcW w:type="dxa" w:w="1234"/>
          </w:tcPr>
          <w:p>
            <w:r>
              <w:rPr>
                <w:rFonts w:ascii="Calibri" w:hAnsi="Calibri"/>
                <w:sz w:val="22"/>
              </w:rPr>
              <w:t>$1.555B</w:t>
            </w:r>
          </w:p>
        </w:tc>
        <w:tc>
          <w:tcPr>
            <w:tcW w:type="dxa" w:w="1234"/>
          </w:tcPr>
          <w:p>
            <w:r>
              <w:rPr>
                <w:rFonts w:ascii="Calibri" w:hAnsi="Calibri"/>
                <w:sz w:val="22"/>
              </w:rPr>
              <w:t>+40.7% YoY</w:t>
            </w:r>
          </w:p>
        </w:tc>
        <w:tc>
          <w:tcPr>
            <w:tcW w:type="dxa" w:w="1234"/>
          </w:tcPr>
          <w:p>
            <w:r>
              <w:rPr>
                <w:rFonts w:ascii="Calibri" w:hAnsi="Calibri"/>
                <w:sz w:val="22"/>
              </w:rPr>
              <w:t>FY $6.9B–$7.4B</w:t>
            </w:r>
          </w:p>
        </w:tc>
        <w:tc>
          <w:tcPr>
            <w:tcW w:type="dxa" w:w="1234"/>
          </w:tcPr>
          <w:p>
            <w:r>
              <w:rPr>
                <w:rFonts w:ascii="Calibri" w:hAnsi="Calibri"/>
                <w:sz w:val="22"/>
              </w:rPr>
              <w:t>N/A — no explicit Q2 FCF guidance</w:t>
            </w:r>
          </w:p>
        </w:tc>
      </w:tr>
    </w:tbl>
    <w:p>
      <w:r>
        <w:rPr>
          <w:rFonts w:ascii="Calibri" w:hAnsi="Calibri"/>
          <w:i/>
          <w:color w:val="525866"/>
          <w:sz w:val="22"/>
        </w:rPr>
        <w:t>Source: Visible Alpha consensus and actuals data. Q2 2026 consensus as of July 22, 2026. Q1 2026 actuals reported April 23, 2026. Organic growth consensus derived from Visible Alpha “Total organic(%)” KPI. Adjusted EPS from “EPS Diluted-operating($)” KPI. Management Q2 guidance from Q1 2026 earnings call (April 23, 2026) and Investor Day (May 20, 2026).</w:t>
      </w:r>
    </w:p>
    <w:p>
      <w:pPr>
        <w:pStyle w:val="Heading3"/>
      </w:pPr>
      <w:r>
        <w:rPr>
          <w:rFonts w:ascii="Calibri" w:hAnsi="Calibri"/>
          <w:b/>
          <w:color w:val="3B4259"/>
          <w:sz w:val="24"/>
        </w:rPr>
        <w:t>Table 2 — Beat/Miss History (Last 8 Quarters) — Top 2 KPIs: Total Revenue &amp; Adjusted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$11.01B</w:t>
            </w:r>
          </w:p>
        </w:tc>
        <w:tc>
          <w:tcPr>
            <w:tcW w:type="dxa" w:w="1440"/>
          </w:tcPr>
          <w:p>
            <w:r>
              <w:rPr>
                <w:rFonts w:ascii="Calibri" w:hAnsi="Calibri"/>
                <w:sz w:val="22"/>
              </w:rPr>
              <w:t>$10.84B</w:t>
            </w:r>
          </w:p>
        </w:tc>
        <w:tc>
          <w:tcPr>
            <w:tcW w:type="dxa" w:w="1440"/>
          </w:tcPr>
          <w:p>
            <w:r>
              <w:rPr>
                <w:rFonts w:ascii="Calibri" w:hAnsi="Calibri"/>
                <w:b/>
                <w:color w:val="30A46C"/>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$5.44</w:t>
            </w:r>
          </w:p>
        </w:tc>
        <w:tc>
          <w:tcPr>
            <w:tcW w:type="dxa" w:w="1440"/>
          </w:tcPr>
          <w:p>
            <w:r>
              <w:rPr>
                <w:rFonts w:ascii="Calibri" w:hAnsi="Calibri"/>
                <w:sz w:val="22"/>
              </w:rPr>
              <w:t>$5.23</w:t>
            </w:r>
          </w:p>
        </w:tc>
        <w:tc>
          <w:tcPr>
            <w:tcW w:type="dxa" w:w="1440"/>
          </w:tcPr>
          <w:p>
            <w:r>
              <w:rPr>
                <w:rFonts w:ascii="Calibri" w:hAnsi="Calibri"/>
                <w:b/>
                <w:color w:val="30A46C"/>
                <w:sz w:val="22"/>
              </w:rPr>
              <w:t>+4.0%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$12.22B</w:t>
            </w:r>
          </w:p>
        </w:tc>
        <w:tc>
          <w:tcPr>
            <w:tcW w:type="dxa" w:w="1440"/>
          </w:tcPr>
          <w:p>
            <w:r>
              <w:rPr>
                <w:rFonts w:ascii="Calibri" w:hAnsi="Calibri"/>
                <w:sz w:val="22"/>
              </w:rPr>
              <w:t>$11.96B</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$6.57</w:t>
            </w:r>
          </w:p>
        </w:tc>
        <w:tc>
          <w:tcPr>
            <w:tcW w:type="dxa" w:w="1440"/>
          </w:tcPr>
          <w:p>
            <w:r>
              <w:rPr>
                <w:rFonts w:ascii="Calibri" w:hAnsi="Calibri"/>
                <w:sz w:val="22"/>
              </w:rPr>
              <w:t>$6.44</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$11.12B</w:t>
            </w:r>
          </w:p>
        </w:tc>
        <w:tc>
          <w:tcPr>
            <w:tcW w:type="dxa" w:w="1440"/>
          </w:tcPr>
          <w:p>
            <w:r>
              <w:rPr>
                <w:rFonts w:ascii="Calibri" w:hAnsi="Calibri"/>
                <w:sz w:val="22"/>
              </w:rPr>
              <w:t>$10.92B</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$5.79</w:t>
            </w:r>
          </w:p>
        </w:tc>
        <w:tc>
          <w:tcPr>
            <w:tcW w:type="dxa" w:w="1440"/>
          </w:tcPr>
          <w:p>
            <w:r>
              <w:rPr>
                <w:rFonts w:ascii="Calibri" w:hAnsi="Calibri"/>
                <w:sz w:val="22"/>
              </w:rPr>
              <w:t>$5.49</w:t>
            </w:r>
          </w:p>
        </w:tc>
        <w:tc>
          <w:tcPr>
            <w:tcW w:type="dxa" w:w="1440"/>
          </w:tcPr>
          <w:p>
            <w:r>
              <w:rPr>
                <w:rFonts w:ascii="Calibri" w:hAnsi="Calibri"/>
                <w:b/>
                <w:color w:val="30A46C"/>
                <w:sz w:val="22"/>
              </w:rPr>
              <w:t>+5.5%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$10.86B</w:t>
            </w:r>
          </w:p>
        </w:tc>
        <w:tc>
          <w:tcPr>
            <w:tcW w:type="dxa" w:w="1440"/>
          </w:tcPr>
          <w:p>
            <w:r>
              <w:rPr>
                <w:rFonts w:ascii="Calibri" w:hAnsi="Calibri"/>
                <w:sz w:val="22"/>
              </w:rPr>
              <w:t>$10.69B</w:t>
            </w:r>
          </w:p>
        </w:tc>
        <w:tc>
          <w:tcPr>
            <w:tcW w:type="dxa" w:w="1440"/>
          </w:tcPr>
          <w:p>
            <w:r>
              <w:rPr>
                <w:rFonts w:ascii="Calibri" w:hAnsi="Calibri"/>
                <w:b/>
                <w:color w:val="30A46C"/>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$5.36</w:t>
            </w:r>
          </w:p>
        </w:tc>
        <w:tc>
          <w:tcPr>
            <w:tcW w:type="dxa" w:w="1440"/>
          </w:tcPr>
          <w:p>
            <w:r>
              <w:rPr>
                <w:rFonts w:ascii="Calibri" w:hAnsi="Calibri"/>
                <w:sz w:val="22"/>
              </w:rPr>
              <w:t>$5.24</w:t>
            </w:r>
          </w:p>
        </w:tc>
        <w:tc>
          <w:tcPr>
            <w:tcW w:type="dxa" w:w="1440"/>
          </w:tcPr>
          <w:p>
            <w:r>
              <w:rPr>
                <w:rFonts w:ascii="Calibri" w:hAnsi="Calibri"/>
                <w:b/>
                <w:color w:val="30A46C"/>
                <w:sz w:val="22"/>
              </w:rPr>
              <w:t>+2.3%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$10.36B</w:t>
            </w:r>
          </w:p>
        </w:tc>
        <w:tc>
          <w:tcPr>
            <w:tcW w:type="dxa" w:w="1440"/>
          </w:tcPr>
          <w:p>
            <w:r>
              <w:rPr>
                <w:rFonts w:ascii="Calibri" w:hAnsi="Calibri"/>
                <w:sz w:val="22"/>
              </w:rPr>
              <w:t>$10.23B</w:t>
            </w:r>
          </w:p>
        </w:tc>
        <w:tc>
          <w:tcPr>
            <w:tcW w:type="dxa" w:w="1440"/>
          </w:tcPr>
          <w:p>
            <w:r>
              <w:rPr>
                <w:rFonts w:ascii="Calibri" w:hAnsi="Calibri"/>
                <w:b/>
                <w:color w:val="30A46C"/>
                <w:sz w:val="22"/>
              </w:rPr>
              <w:t>+1.3%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$5.15</w:t>
            </w:r>
          </w:p>
        </w:tc>
        <w:tc>
          <w:tcPr>
            <w:tcW w:type="dxa" w:w="1440"/>
          </w:tcPr>
          <w:p>
            <w:r>
              <w:rPr>
                <w:rFonts w:ascii="Calibri" w:hAnsi="Calibri"/>
                <w:sz w:val="22"/>
              </w:rPr>
              <w:t>$5.10</w:t>
            </w:r>
          </w:p>
        </w:tc>
        <w:tc>
          <w:tcPr>
            <w:tcW w:type="dxa" w:w="1440"/>
          </w:tcPr>
          <w:p>
            <w:r>
              <w:rPr>
                <w:rFonts w:ascii="Calibri" w:hAnsi="Calibri"/>
                <w:b/>
                <w:color w:val="30A46C"/>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$11.40B</w:t>
            </w:r>
          </w:p>
        </w:tc>
        <w:tc>
          <w:tcPr>
            <w:tcW w:type="dxa" w:w="1440"/>
          </w:tcPr>
          <w:p>
            <w:r>
              <w:rPr>
                <w:rFonts w:ascii="Calibri" w:hAnsi="Calibri"/>
                <w:sz w:val="22"/>
              </w:rPr>
              <w:t>$11.29B</w:t>
            </w:r>
          </w:p>
        </w:tc>
        <w:tc>
          <w:tcPr>
            <w:tcW w:type="dxa" w:w="1440"/>
          </w:tcPr>
          <w:p>
            <w:r>
              <w:rPr>
                <w:rFonts w:ascii="Calibri" w:hAnsi="Calibri"/>
                <w:b/>
                <w:color w:val="30A46C"/>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$6.10</w:t>
            </w:r>
          </w:p>
        </w:tc>
        <w:tc>
          <w:tcPr>
            <w:tcW w:type="dxa" w:w="1440"/>
          </w:tcPr>
          <w:p>
            <w:r>
              <w:rPr>
                <w:rFonts w:ascii="Calibri" w:hAnsi="Calibri"/>
                <w:sz w:val="22"/>
              </w:rPr>
              <w:t>$5.95</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$10.60B</w:t>
            </w:r>
          </w:p>
        </w:tc>
        <w:tc>
          <w:tcPr>
            <w:tcW w:type="dxa" w:w="1440"/>
          </w:tcPr>
          <w:p>
            <w:r>
              <w:rPr>
                <w:rFonts w:ascii="Calibri" w:hAnsi="Calibri"/>
                <w:sz w:val="22"/>
              </w:rPr>
              <w:t>$10.65B</w:t>
            </w:r>
          </w:p>
        </w:tc>
        <w:tc>
          <w:tcPr>
            <w:tcW w:type="dxa" w:w="1440"/>
          </w:tcPr>
          <w:p>
            <w:r>
              <w:rPr>
                <w:rFonts w:ascii="Calibri" w:hAnsi="Calibri"/>
                <w:b/>
                <w:color w:val="E5484D"/>
                <w:sz w:val="22"/>
              </w:rPr>
              <w:t>-0.5%</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$5.28</w:t>
            </w:r>
          </w:p>
        </w:tc>
        <w:tc>
          <w:tcPr>
            <w:tcW w:type="dxa" w:w="1440"/>
          </w:tcPr>
          <w:p>
            <w:r>
              <w:rPr>
                <w:rFonts w:ascii="Calibri" w:hAnsi="Calibri"/>
                <w:sz w:val="22"/>
              </w:rPr>
              <w:t>$5.25</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$10.54B</w:t>
            </w:r>
          </w:p>
        </w:tc>
        <w:tc>
          <w:tcPr>
            <w:tcW w:type="dxa" w:w="1440"/>
          </w:tcPr>
          <w:p>
            <w:r>
              <w:rPr>
                <w:rFonts w:ascii="Calibri" w:hAnsi="Calibri"/>
                <w:sz w:val="22"/>
              </w:rPr>
              <w:t>$10.52B</w:t>
            </w:r>
          </w:p>
        </w:tc>
        <w:tc>
          <w:tcPr>
            <w:tcW w:type="dxa" w:w="1440"/>
          </w:tcPr>
          <w:p>
            <w:r>
              <w:rPr>
                <w:rFonts w:ascii="Calibri" w:hAnsi="Calibri"/>
                <w:b/>
                <w:color w:val="30A46C"/>
                <w:sz w:val="22"/>
              </w:rPr>
              <w:t>+0.2%</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$5.37</w:t>
            </w:r>
          </w:p>
        </w:tc>
        <w:tc>
          <w:tcPr>
            <w:tcW w:type="dxa" w:w="1440"/>
          </w:tcPr>
          <w:p>
            <w:r>
              <w:rPr>
                <w:rFonts w:ascii="Calibri" w:hAnsi="Calibri"/>
                <w:sz w:val="22"/>
              </w:rPr>
              <w:t>$5.12</w:t>
            </w:r>
          </w:p>
        </w:tc>
        <w:tc>
          <w:tcPr>
            <w:tcW w:type="dxa" w:w="1440"/>
          </w:tcPr>
          <w:p>
            <w:r>
              <w:rPr>
                <w:rFonts w:ascii="Calibri" w:hAnsi="Calibri"/>
                <w:b/>
                <w:color w:val="30A46C"/>
                <w:sz w:val="22"/>
              </w:rPr>
              <w:t>+4.7%</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TMO has beaten revenue consensus in 7 of the last 8 quarters and adjusted EPS in all 8 quarters, with EPS beats averaging ~+2.8% and revenue beats averaging ~+1.1%. The sole revenue miss (Q3 2024, −0.5%) was modest. This consistent beat cadence reflects TMO’s conservative guidance philosophy and PPI Business System execution discipline.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raised on both revenue and EPS since last earnings (Q1 2026, April 23), driven by the Clario acquisition close and strong Q1 operational performance; organic growth guidance is unchanged at 3%–4%, and management tone at the May 20 Investor Day was explicitly confident, reaffirming “very good visibility” to the sequential ramp.</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 (VA, Jul 22)</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$47.3B – $48.1B (raised from $46.3B–$47.2B)</w:t>
            </w:r>
          </w:p>
        </w:tc>
        <w:tc>
          <w:tcPr>
            <w:tcW w:type="dxa" w:w="1728"/>
          </w:tcPr>
          <w:p>
            <w:r>
              <w:rPr>
                <w:rFonts w:ascii="Calibri" w:hAnsi="Calibri"/>
                <w:sz w:val="22"/>
              </w:rPr>
              <w:t>—</w:t>
            </w:r>
          </w:p>
        </w:tc>
        <w:tc>
          <w:tcPr>
            <w:tcW w:type="dxa" w:w="1728"/>
          </w:tcPr>
          <w:p>
            <w:r>
              <w:rPr>
                <w:rFonts w:ascii="Calibri" w:hAnsi="Calibri"/>
                <w:sz w:val="22"/>
              </w:rPr>
              <w:t>$47.77B</w:t>
            </w:r>
          </w:p>
        </w:tc>
        <w:tc>
          <w:tcPr>
            <w:tcW w:type="dxa" w:w="1728"/>
          </w:tcPr>
          <w:p>
            <w:r>
              <w:rPr>
                <w:rFonts w:ascii="Calibri" w:hAnsi="Calibri"/>
                <w:sz w:val="22"/>
              </w:rPr>
              <w:t>Raised at Q1 earnings; Clario added $900M; Investor Day (May 20) reaffirmed; no further change</w:t>
            </w:r>
          </w:p>
        </w:tc>
      </w:tr>
      <w:tr>
        <w:tc>
          <w:tcPr>
            <w:tcW w:type="dxa" w:w="1728"/>
          </w:tcPr>
          <w:p>
            <w:r>
              <w:rPr>
                <w:rFonts w:ascii="Calibri" w:hAnsi="Calibri"/>
                <w:sz w:val="22"/>
              </w:rPr>
              <w:t>FY 2026 Organic Revenue Growth</w:t>
            </w:r>
          </w:p>
        </w:tc>
        <w:tc>
          <w:tcPr>
            <w:tcW w:type="dxa" w:w="1728"/>
          </w:tcPr>
          <w:p>
            <w:r>
              <w:rPr>
                <w:rFonts w:ascii="Calibri" w:hAnsi="Calibri"/>
                <w:sz w:val="22"/>
              </w:rPr>
              <w:t>3% – 4% (midpoint slightly above 3%)</w:t>
            </w:r>
          </w:p>
        </w:tc>
        <w:tc>
          <w:tcPr>
            <w:tcW w:type="dxa" w:w="1728"/>
          </w:tcPr>
          <w:p>
            <w:r>
              <w:rPr>
                <w:rFonts w:ascii="Calibri" w:hAnsi="Calibri"/>
                <w:sz w:val="22"/>
              </w:rPr>
              <w:t>—</w:t>
            </w:r>
          </w:p>
        </w:tc>
        <w:tc>
          <w:tcPr>
            <w:tcW w:type="dxa" w:w="1728"/>
          </w:tcPr>
          <w:p>
            <w:r>
              <w:rPr>
                <w:rFonts w:ascii="Calibri" w:hAnsi="Calibri"/>
                <w:sz w:val="22"/>
              </w:rPr>
              <w:t>~3.2%</w:t>
            </w:r>
          </w:p>
        </w:tc>
        <w:tc>
          <w:tcPr>
            <w:tcW w:type="dxa" w:w="1728"/>
          </w:tcPr>
          <w:p>
            <w:r>
              <w:rPr>
                <w:rFonts w:ascii="Calibri" w:hAnsi="Calibri"/>
                <w:sz w:val="22"/>
              </w:rPr>
              <w:t>Unchanged; Investor Day reaffirmed “on track with improving trajectory”</w:t>
            </w:r>
          </w:p>
        </w:tc>
      </w:tr>
      <w:tr>
        <w:tc>
          <w:tcPr>
            <w:tcW w:type="dxa" w:w="1728"/>
          </w:tcPr>
          <w:p>
            <w:r>
              <w:rPr>
                <w:rFonts w:ascii="Calibri" w:hAnsi="Calibri"/>
                <w:sz w:val="22"/>
              </w:rPr>
              <w:t>FY 2026 Adjusted EPS</w:t>
            </w:r>
          </w:p>
        </w:tc>
        <w:tc>
          <w:tcPr>
            <w:tcW w:type="dxa" w:w="1728"/>
          </w:tcPr>
          <w:p>
            <w:r>
              <w:rPr>
                <w:rFonts w:ascii="Calibri" w:hAnsi="Calibri"/>
                <w:sz w:val="22"/>
              </w:rPr>
              <w:t>$24.64 – $25.12 (raised from $24.22–$24.80)</w:t>
            </w:r>
          </w:p>
        </w:tc>
        <w:tc>
          <w:tcPr>
            <w:tcW w:type="dxa" w:w="1728"/>
          </w:tcPr>
          <w:p>
            <w:r>
              <w:rPr>
                <w:rFonts w:ascii="Calibri" w:hAnsi="Calibri"/>
                <w:sz w:val="22"/>
              </w:rPr>
              <w:t>—</w:t>
            </w:r>
          </w:p>
        </w:tc>
        <w:tc>
          <w:tcPr>
            <w:tcW w:type="dxa" w:w="1728"/>
          </w:tcPr>
          <w:p>
            <w:r>
              <w:rPr>
                <w:rFonts w:ascii="Calibri" w:hAnsi="Calibri"/>
                <w:sz w:val="22"/>
              </w:rPr>
              <w:t>$24.85</w:t>
            </w:r>
          </w:p>
        </w:tc>
        <w:tc>
          <w:tcPr>
            <w:tcW w:type="dxa" w:w="1728"/>
          </w:tcPr>
          <w:p>
            <w:r>
              <w:rPr>
                <w:rFonts w:ascii="Calibri" w:hAnsi="Calibri"/>
                <w:sz w:val="22"/>
              </w:rPr>
              <w:t>Raised at Q1 earnings; Clario added $0.32; strong Q1 ops added remainder; Investor Day reaffirmed 8%–10% growth</w:t>
            </w:r>
          </w:p>
        </w:tc>
      </w:tr>
      <w:tr>
        <w:tc>
          <w:tcPr>
            <w:tcW w:type="dxa" w:w="1728"/>
          </w:tcPr>
          <w:p>
            <w:r>
              <w:rPr>
                <w:rFonts w:ascii="Calibri" w:hAnsi="Calibri"/>
                <w:sz w:val="22"/>
              </w:rPr>
              <w:t>FY 2026 Adj. Operating Margin Expansion</w:t>
            </w:r>
          </w:p>
        </w:tc>
        <w:tc>
          <w:tcPr>
            <w:tcW w:type="dxa" w:w="1728"/>
          </w:tcPr>
          <w:p>
            <w:r>
              <w:rPr>
                <w:rFonts w:ascii="Calibri" w:hAnsi="Calibri"/>
                <w:sz w:val="22"/>
              </w:rPr>
              <w:t>+70 bps (incl. ~30 bps tariff/FX headwind)</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 majority of tariff headwind already absorbed in Q1</w:t>
            </w:r>
          </w:p>
        </w:tc>
      </w:tr>
      <w:tr>
        <w:tc>
          <w:tcPr>
            <w:tcW w:type="dxa" w:w="1728"/>
          </w:tcPr>
          <w:p>
            <w:r>
              <w:rPr>
                <w:rFonts w:ascii="Calibri" w:hAnsi="Calibri"/>
                <w:sz w:val="22"/>
              </w:rPr>
              <w:t>FY 2026 Free Cash Flow</w:t>
            </w:r>
          </w:p>
        </w:tc>
        <w:tc>
          <w:tcPr>
            <w:tcW w:type="dxa" w:w="1728"/>
          </w:tcPr>
          <w:p>
            <w:r>
              <w:rPr>
                <w:rFonts w:ascii="Calibri" w:hAnsi="Calibri"/>
                <w:sz w:val="22"/>
              </w:rPr>
              <w:t>$6.9B – $7.4B</w:t>
            </w:r>
          </w:p>
        </w:tc>
        <w:tc>
          <w:tcPr>
            <w:tcW w:type="dxa" w:w="1728"/>
          </w:tcPr>
          <w:p>
            <w:r>
              <w:rPr>
                <w:rFonts w:ascii="Calibri" w:hAnsi="Calibri"/>
                <w:sz w:val="22"/>
              </w:rPr>
              <w:t>—</w:t>
            </w:r>
          </w:p>
        </w:tc>
        <w:tc>
          <w:tcPr>
            <w:tcW w:type="dxa" w:w="1728"/>
          </w:tcPr>
          <w:p>
            <w:r>
              <w:rPr>
                <w:rFonts w:ascii="Calibri" w:hAnsi="Calibri"/>
                <w:sz w:val="22"/>
              </w:rPr>
              <w:t>$7.04B</w:t>
            </w:r>
          </w:p>
        </w:tc>
        <w:tc>
          <w:tcPr>
            <w:tcW w:type="dxa" w:w="1728"/>
          </w:tcPr>
          <w:p>
            <w:r>
              <w:rPr>
                <w:rFonts w:ascii="Calibri" w:hAnsi="Calibri"/>
                <w:sz w:val="22"/>
              </w:rPr>
              <w:t>Unchanged; elevated CapEx ($1.9B–$2.1B) for Clario ramp and U.S. manufacturing investment</w:t>
            </w:r>
          </w:p>
        </w:tc>
      </w:tr>
      <w:tr>
        <w:tc>
          <w:tcPr>
            <w:tcW w:type="dxa" w:w="1728"/>
          </w:tcPr>
          <w:p>
            <w:r>
              <w:rPr>
                <w:rFonts w:ascii="Calibri" w:hAnsi="Calibri"/>
                <w:sz w:val="22"/>
              </w:rPr>
              <w:t>Q2 2026 Organic Revenue Growth</w:t>
            </w:r>
          </w:p>
        </w:tc>
        <w:tc>
          <w:tcPr>
            <w:tcW w:type="dxa" w:w="1728"/>
          </w:tcPr>
          <w:p>
            <w:r>
              <w:rPr>
                <w:rFonts w:ascii="Calibri" w:hAnsi="Calibri"/>
                <w:sz w:val="22"/>
              </w:rPr>
              <w:t>~3% (Q1 earnings call)</w:t>
            </w:r>
          </w:p>
        </w:tc>
        <w:tc>
          <w:tcPr>
            <w:tcW w:type="dxa" w:w="1728"/>
          </w:tcPr>
          <w:p>
            <w:r>
              <w:rPr>
                <w:rFonts w:ascii="Calibri" w:hAnsi="Calibri"/>
                <w:sz w:val="22"/>
              </w:rPr>
              <w:t>—</w:t>
            </w:r>
          </w:p>
        </w:tc>
        <w:tc>
          <w:tcPr>
            <w:tcW w:type="dxa" w:w="1728"/>
          </w:tcPr>
          <w:p>
            <w:r>
              <w:rPr>
                <w:rFonts w:ascii="Calibri" w:hAnsi="Calibri"/>
                <w:sz w:val="22"/>
              </w:rPr>
              <w:t>~3.1%</w:t>
            </w:r>
          </w:p>
        </w:tc>
        <w:tc>
          <w:tcPr>
            <w:tcW w:type="dxa" w:w="1728"/>
          </w:tcPr>
          <w:p>
            <w:r>
              <w:rPr>
                <w:rFonts w:ascii="Calibri" w:hAnsi="Calibri"/>
                <w:sz w:val="22"/>
              </w:rPr>
              <w:t>Unchanged; Investor Day confirmed “very good visibility” to sequential progression</w:t>
            </w:r>
          </w:p>
        </w:tc>
      </w:tr>
      <w:tr>
        <w:tc>
          <w:tcPr>
            <w:tcW w:type="dxa" w:w="1728"/>
          </w:tcPr>
          <w:p>
            <w:r>
              <w:rPr>
                <w:rFonts w:ascii="Calibri" w:hAnsi="Calibri"/>
                <w:sz w:val="22"/>
              </w:rPr>
              <w:t>Q2 2026 Adjusted EPS</w:t>
            </w:r>
          </w:p>
        </w:tc>
        <w:tc>
          <w:tcPr>
            <w:tcW w:type="dxa" w:w="1728"/>
          </w:tcPr>
          <w:p>
            <w:r>
              <w:rPr>
                <w:rFonts w:ascii="Calibri" w:hAnsi="Calibri"/>
                <w:sz w:val="22"/>
              </w:rPr>
              <w:t>$5.69 – $5.74 (Q1 + $0.25 to $0.30)</w:t>
            </w:r>
          </w:p>
        </w:tc>
        <w:tc>
          <w:tcPr>
            <w:tcW w:type="dxa" w:w="1728"/>
          </w:tcPr>
          <w:p>
            <w:r>
              <w:rPr>
                <w:rFonts w:ascii="Calibri" w:hAnsi="Calibri"/>
                <w:sz w:val="22"/>
              </w:rPr>
              <w:t>—</w:t>
            </w:r>
          </w:p>
        </w:tc>
        <w:tc>
          <w:tcPr>
            <w:tcW w:type="dxa" w:w="1728"/>
          </w:tcPr>
          <w:p>
            <w:r>
              <w:rPr>
                <w:rFonts w:ascii="Calibri" w:hAnsi="Calibri"/>
                <w:sz w:val="22"/>
              </w:rPr>
              <w:t>$5.76</w:t>
            </w:r>
          </w:p>
        </w:tc>
        <w:tc>
          <w:tcPr>
            <w:tcW w:type="dxa" w:w="1728"/>
          </w:tcPr>
          <w:p>
            <w:r>
              <w:rPr>
                <w:rFonts w:ascii="Calibri" w:hAnsi="Calibri"/>
                <w:sz w:val="22"/>
              </w:rPr>
              <w:t>Consensus sits ~$0.03 above guidance midpoint; no post-Q1 revision</w:t>
            </w:r>
          </w:p>
        </w:tc>
      </w:tr>
      <w:tr>
        <w:tc>
          <w:tcPr>
            <w:tcW w:type="dxa" w:w="1728"/>
          </w:tcPr>
          <w:p>
            <w:r>
              <w:rPr>
                <w:rFonts w:ascii="Calibri" w:hAnsi="Calibri"/>
                <w:sz w:val="22"/>
              </w:rPr>
              <w:t>Long-Term Organic Revenue CAGR</w:t>
            </w:r>
          </w:p>
        </w:tc>
        <w:tc>
          <w:tcPr>
            <w:tcW w:type="dxa" w:w="1728"/>
          </w:tcPr>
          <w:p>
            <w:r>
              <w:rPr>
                <w:rFonts w:ascii="Calibri" w:hAnsi="Calibri"/>
                <w:sz w:val="22"/>
              </w:rPr>
              <w:t>7% (clarified from “7%+” at Investor Day)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Investor Day (May 20): upgraded adj. operating income outlook to high-single-digit growth for both 2026 and 2027; low-teens adj. EPS and FCF growth LT</w:t>
            </w:r>
          </w:p>
        </w:tc>
      </w:tr>
    </w:tbl>
    <w:p>
      <w:r>
        <w:rPr>
          <w:rFonts w:ascii="Calibri" w:hAnsi="Calibri"/>
          <w:i/>
          <w:color w:val="525866"/>
          <w:sz w:val="22"/>
        </w:rPr>
        <w:t>Source: TMO Q1 2026 Earnings Call transcript (April 23, 2026); TMO Investor Day transcript (May 20, 2026); Visible Alpha consensus data as of July 22, 2026.</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 since the Q1 print — Q2 EPS consensus moved only marginally ($5.77 → $5.76) and FY 2026 EPS is nearly unchanged ($24.86 → $24.85), suggesting the Street has fully digested the Q1 raise and is waiting for Q2 execution to confirm the organic growth ramp. The gap between consensus and guidance midpoint is narrow and not a meaningful risk or cushion.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28,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(Q2 2026)</w:t>
            </w:r>
          </w:p>
        </w:tc>
        <w:tc>
          <w:tcPr>
            <w:tcW w:type="dxa" w:w="1080"/>
          </w:tcPr>
          <w:p>
            <w:r>
              <w:rPr>
                <w:rFonts w:ascii="Calibri" w:hAnsi="Calibri"/>
                <w:sz w:val="22"/>
              </w:rPr>
              <w:t>$11.706B</w:t>
            </w:r>
          </w:p>
        </w:tc>
        <w:tc>
          <w:tcPr>
            <w:tcW w:type="dxa" w:w="1080"/>
          </w:tcPr>
          <w:p>
            <w:r>
              <w:rPr>
                <w:rFonts w:ascii="Calibri" w:hAnsi="Calibri"/>
                <w:sz w:val="22"/>
              </w:rPr>
              <w:t>$11.716B</w:t>
            </w:r>
          </w:p>
        </w:tc>
        <w:tc>
          <w:tcPr>
            <w:tcW w:type="dxa" w:w="1080"/>
          </w:tcPr>
          <w:p>
            <w:r>
              <w:rPr>
                <w:rFonts w:ascii="Calibri" w:hAnsi="Calibri"/>
                <w:sz w:val="22"/>
              </w:rPr>
              <w:t>+0.1%</w:t>
            </w:r>
          </w:p>
        </w:tc>
        <w:tc>
          <w:tcPr>
            <w:tcW w:type="dxa" w:w="1080"/>
          </w:tcPr>
          <w:p>
            <w:r>
              <w:rPr>
                <w:rFonts w:ascii="Calibri" w:hAnsi="Calibri"/>
                <w:sz w:val="22"/>
              </w:rPr>
              <w:t>~3% organic growth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above midpoint</w:t>
            </w:r>
          </w:p>
        </w:tc>
      </w:tr>
      <w:tr>
        <w:tc>
          <w:tcPr>
            <w:tcW w:type="dxa" w:w="1080"/>
          </w:tcPr>
          <w:p>
            <w:r>
              <w:rPr>
                <w:rFonts w:ascii="Calibri" w:hAnsi="Calibri"/>
                <w:sz w:val="22"/>
              </w:rPr>
              <w:t>Organic Growth % (Q2 2026)</w:t>
            </w:r>
          </w:p>
        </w:tc>
        <w:tc>
          <w:tcPr>
            <w:tcW w:type="dxa" w:w="1080"/>
          </w:tcPr>
          <w:p>
            <w:r>
              <w:rPr>
                <w:rFonts w:ascii="Calibri" w:hAnsi="Calibri"/>
                <w:sz w:val="22"/>
              </w:rPr>
              <w:t>~3.0%</w:t>
            </w:r>
          </w:p>
        </w:tc>
        <w:tc>
          <w:tcPr>
            <w:tcW w:type="dxa" w:w="1080"/>
          </w:tcPr>
          <w:p>
            <w:r>
              <w:rPr>
                <w:rFonts w:ascii="Calibri" w:hAnsi="Calibri"/>
                <w:sz w:val="22"/>
              </w:rPr>
              <w:t>~3.1%</w:t>
            </w:r>
          </w:p>
        </w:tc>
        <w:tc>
          <w:tcPr>
            <w:tcW w:type="dxa" w:w="1080"/>
          </w:tcPr>
          <w:p>
            <w:r>
              <w:rPr>
                <w:rFonts w:ascii="Calibri" w:hAnsi="Calibri"/>
                <w:sz w:val="22"/>
              </w:rPr>
              <w:t>+~10 bps</w:t>
            </w:r>
          </w:p>
        </w:tc>
        <w:tc>
          <w:tcPr>
            <w:tcW w:type="dxa" w:w="1080"/>
          </w:tcPr>
          <w:p>
            <w:r>
              <w:rPr>
                <w:rFonts w:ascii="Calibri" w:hAnsi="Calibri"/>
                <w:sz w:val="22"/>
              </w:rPr>
              <w:t>~3%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bps above guidance</w:t>
            </w:r>
          </w:p>
        </w:tc>
      </w:tr>
      <w:tr>
        <w:tc>
          <w:tcPr>
            <w:tcW w:type="dxa" w:w="1080"/>
          </w:tcPr>
          <w:p>
            <w:r>
              <w:rPr>
                <w:rFonts w:ascii="Calibri" w:hAnsi="Calibri"/>
                <w:sz w:val="22"/>
              </w:rPr>
              <w:t>Adj. EPS (Q2 2026)</w:t>
            </w:r>
          </w:p>
        </w:tc>
        <w:tc>
          <w:tcPr>
            <w:tcW w:type="dxa" w:w="1080"/>
          </w:tcPr>
          <w:p>
            <w:r>
              <w:rPr>
                <w:rFonts w:ascii="Calibri" w:hAnsi="Calibri"/>
                <w:sz w:val="22"/>
              </w:rPr>
              <w:t>$5.765</w:t>
            </w:r>
          </w:p>
        </w:tc>
        <w:tc>
          <w:tcPr>
            <w:tcW w:type="dxa" w:w="1080"/>
          </w:tcPr>
          <w:p>
            <w:r>
              <w:rPr>
                <w:rFonts w:ascii="Calibri" w:hAnsi="Calibri"/>
                <w:sz w:val="22"/>
              </w:rPr>
              <w:t>$5.761</w:t>
            </w:r>
          </w:p>
        </w:tc>
        <w:tc>
          <w:tcPr>
            <w:tcW w:type="dxa" w:w="1080"/>
          </w:tcPr>
          <w:p>
            <w:r>
              <w:rPr>
                <w:rFonts w:ascii="Calibri" w:hAnsi="Calibri"/>
                <w:sz w:val="22"/>
              </w:rPr>
              <w:t>-0.1%</w:t>
            </w:r>
          </w:p>
        </w:tc>
        <w:tc>
          <w:tcPr>
            <w:tcW w:type="dxa" w:w="1080"/>
          </w:tcPr>
          <w:p>
            <w:r>
              <w:rPr>
                <w:rFonts w:ascii="Calibri" w:hAnsi="Calibri"/>
                <w:sz w:val="22"/>
              </w:rPr>
              <w:t>$5.69–$5.74 midpoint ~$5.72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+0.7% above guidance midpoint</w:t>
            </w:r>
          </w:p>
        </w:tc>
      </w:tr>
      <w:tr>
        <w:tc>
          <w:tcPr>
            <w:tcW w:type="dxa" w:w="1080"/>
          </w:tcPr>
          <w:p>
            <w:r>
              <w:rPr>
                <w:rFonts w:ascii="Calibri" w:hAnsi="Calibri"/>
                <w:sz w:val="22"/>
              </w:rPr>
              <w:t>Total Revenue (FY 2026)</w:t>
            </w:r>
          </w:p>
        </w:tc>
        <w:tc>
          <w:tcPr>
            <w:tcW w:type="dxa" w:w="1080"/>
          </w:tcPr>
          <w:p>
            <w:r>
              <w:rPr>
                <w:rFonts w:ascii="Calibri" w:hAnsi="Calibri"/>
                <w:sz w:val="22"/>
              </w:rPr>
              <w:t>$47.757B</w:t>
            </w:r>
          </w:p>
        </w:tc>
        <w:tc>
          <w:tcPr>
            <w:tcW w:type="dxa" w:w="1080"/>
          </w:tcPr>
          <w:p>
            <w:r>
              <w:rPr>
                <w:rFonts w:ascii="Calibri" w:hAnsi="Calibri"/>
                <w:sz w:val="22"/>
              </w:rPr>
              <w:t>$47.768B</w:t>
            </w:r>
          </w:p>
        </w:tc>
        <w:tc>
          <w:tcPr>
            <w:tcW w:type="dxa" w:w="1080"/>
          </w:tcPr>
          <w:p>
            <w:r>
              <w:rPr>
                <w:rFonts w:ascii="Calibri" w:hAnsi="Calibri"/>
                <w:sz w:val="22"/>
              </w:rPr>
              <w:t>+0.0%</w:t>
            </w:r>
          </w:p>
        </w:tc>
        <w:tc>
          <w:tcPr>
            <w:tcW w:type="dxa" w:w="1080"/>
          </w:tcPr>
          <w:p>
            <w:r>
              <w:rPr>
                <w:rFonts w:ascii="Calibri" w:hAnsi="Calibri"/>
                <w:sz w:val="22"/>
              </w:rPr>
              <w:t>$47.3B–$48.1B midpoint $47.7B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above midpoint</w:t>
            </w:r>
          </w:p>
        </w:tc>
      </w:tr>
      <w:tr>
        <w:tc>
          <w:tcPr>
            <w:tcW w:type="dxa" w:w="1080"/>
          </w:tcPr>
          <w:p>
            <w:r>
              <w:rPr>
                <w:rFonts w:ascii="Calibri" w:hAnsi="Calibri"/>
                <w:sz w:val="22"/>
              </w:rPr>
              <w:t>Organic Growth % (FY 2026)</w:t>
            </w:r>
          </w:p>
        </w:tc>
        <w:tc>
          <w:tcPr>
            <w:tcW w:type="dxa" w:w="1080"/>
          </w:tcPr>
          <w:p>
            <w:r>
              <w:rPr>
                <w:rFonts w:ascii="Calibri" w:hAnsi="Calibri"/>
                <w:sz w:val="22"/>
              </w:rPr>
              <w:t>~3.18%</w:t>
            </w:r>
          </w:p>
        </w:tc>
        <w:tc>
          <w:tcPr>
            <w:tcW w:type="dxa" w:w="1080"/>
          </w:tcPr>
          <w:p>
            <w:r>
              <w:rPr>
                <w:rFonts w:ascii="Calibri" w:hAnsi="Calibri"/>
                <w:sz w:val="22"/>
              </w:rPr>
              <w:t>~3.21%</w:t>
            </w:r>
          </w:p>
        </w:tc>
        <w:tc>
          <w:tcPr>
            <w:tcW w:type="dxa" w:w="1080"/>
          </w:tcPr>
          <w:p>
            <w:r>
              <w:rPr>
                <w:rFonts w:ascii="Calibri" w:hAnsi="Calibri"/>
                <w:sz w:val="22"/>
              </w:rPr>
              <w:t>+~3 bps</w:t>
            </w:r>
          </w:p>
        </w:tc>
        <w:tc>
          <w:tcPr>
            <w:tcW w:type="dxa" w:w="1080"/>
          </w:tcPr>
          <w:p>
            <w:r>
              <w:rPr>
                <w:rFonts w:ascii="Calibri" w:hAnsi="Calibri"/>
                <w:sz w:val="22"/>
              </w:rPr>
              <w:t>3%–4% (midpoint ~3.1%)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bps above midpoint</w:t>
            </w:r>
          </w:p>
        </w:tc>
      </w:tr>
      <w:tr>
        <w:tc>
          <w:tcPr>
            <w:tcW w:type="dxa" w:w="1080"/>
          </w:tcPr>
          <w:p>
            <w:r>
              <w:rPr>
                <w:rFonts w:ascii="Calibri" w:hAnsi="Calibri"/>
                <w:sz w:val="22"/>
              </w:rPr>
              <w:t>Adj. EPS (FY 2026)</w:t>
            </w:r>
          </w:p>
        </w:tc>
        <w:tc>
          <w:tcPr>
            <w:tcW w:type="dxa" w:w="1080"/>
          </w:tcPr>
          <w:p>
            <w:r>
              <w:rPr>
                <w:rFonts w:ascii="Calibri" w:hAnsi="Calibri"/>
                <w:sz w:val="22"/>
              </w:rPr>
              <w:t>$24.858</w:t>
            </w:r>
          </w:p>
        </w:tc>
        <w:tc>
          <w:tcPr>
            <w:tcW w:type="dxa" w:w="1080"/>
          </w:tcPr>
          <w:p>
            <w:r>
              <w:rPr>
                <w:rFonts w:ascii="Calibri" w:hAnsi="Calibri"/>
                <w:sz w:val="22"/>
              </w:rPr>
              <w:t>$24.851</w:t>
            </w:r>
          </w:p>
        </w:tc>
        <w:tc>
          <w:tcPr>
            <w:tcW w:type="dxa" w:w="1080"/>
          </w:tcPr>
          <w:p>
            <w:r>
              <w:rPr>
                <w:rFonts w:ascii="Calibri" w:hAnsi="Calibri"/>
                <w:sz w:val="22"/>
              </w:rPr>
              <w:t>-0.0%</w:t>
            </w:r>
          </w:p>
        </w:tc>
        <w:tc>
          <w:tcPr>
            <w:tcW w:type="dxa" w:w="1080"/>
          </w:tcPr>
          <w:p>
            <w:r>
              <w:rPr>
                <w:rFonts w:ascii="Calibri" w:hAnsi="Calibri"/>
                <w:sz w:val="22"/>
              </w:rPr>
              <w:t>$24.64–$25.12 midpoint $24.88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below midpoint</w:t>
            </w:r>
          </w:p>
        </w:tc>
      </w:tr>
      <w:tr>
        <w:tc>
          <w:tcPr>
            <w:tcW w:type="dxa" w:w="1080"/>
          </w:tcPr>
          <w:p>
            <w:r>
              <w:rPr>
                <w:rFonts w:ascii="Calibri" w:hAnsi="Calibri"/>
                <w:sz w:val="22"/>
              </w:rPr>
              <w:t>Adj. EPS (FY 2027)</w:t>
            </w:r>
          </w:p>
        </w:tc>
        <w:tc>
          <w:tcPr>
            <w:tcW w:type="dxa" w:w="1080"/>
          </w:tcPr>
          <w:p>
            <w:r>
              <w:rPr>
                <w:rFonts w:ascii="Calibri" w:hAnsi="Calibri"/>
                <w:sz w:val="22"/>
              </w:rPr>
              <w:t>$27.308</w:t>
            </w:r>
          </w:p>
        </w:tc>
        <w:tc>
          <w:tcPr>
            <w:tcW w:type="dxa" w:w="1080"/>
          </w:tcPr>
          <w:p>
            <w:r>
              <w:rPr>
                <w:rFonts w:ascii="Calibri" w:hAnsi="Calibri"/>
                <w:sz w:val="22"/>
              </w:rPr>
              <w:t>$27.239</w:t>
            </w:r>
          </w:p>
        </w:tc>
        <w:tc>
          <w:tcPr>
            <w:tcW w:type="dxa" w:w="1080"/>
          </w:tcPr>
          <w:p>
            <w:r>
              <w:rPr>
                <w:rFonts w:ascii="Calibri" w:hAnsi="Calibri"/>
                <w:sz w:val="22"/>
              </w:rPr>
              <w:t>-0.3%</w:t>
            </w:r>
          </w:p>
        </w:tc>
        <w:tc>
          <w:tcPr>
            <w:tcW w:type="dxa" w:w="1080"/>
          </w:tcPr>
          <w:p>
            <w:r>
              <w:rPr>
                <w:rFonts w:ascii="Calibri" w:hAnsi="Calibri"/>
                <w:sz w:val="22"/>
              </w:rPr>
              <w:t>N/A (2027 specifics in Jan 2027)</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Estimates have been remarkably stable since the Q1 print — the Street has essentially locked in guidance as the base case with no incremental revision in either direction. This is a neutral setup: there is no embedded cushion from downward revisions, but also no elevated bar from upward drift. The key question for Q2 is whether organic growth visibly inflects toward the 3%+ level management guided, which would validate the back-half ramp thesis and potentially catalyze upward FY revisions. Source: Visible Alpha consensus data; as-of date April 28, 2026 (5 trading days post Q1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TMO’s +12.8% rally since Q1 earnings has been driven primarily by sentiment recovery and sector rotation back into life sciences tools, roughly matching XBI (+13.1%) and well outpacing SPY (+5.5%); the move appears sentiment- and multiple-driven rather than estimate-revision-driven, given estimates have been flat — leaving the stock dependent on Q2 execution to sustain the re-rating.</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TMO vs. XBI (SPDR S&amp;P Biotech ETF) vs. S&amp;P 500 (SPY) — Indexed to 100 at Q1 2026 Earnings Date (April 23, 2026). Source: Yahoo Finance / Stock Price Data.</w:t>
      </w:r>
    </w:p>
    <w:p>
      <w:pPr>
        <w:pStyle w:val="ListBullet"/>
        <w:ind w:left="360" w:hanging="360"/>
      </w:pPr>
      <w:r>
        <w:rPr>
          <w:rFonts w:ascii="Calibri" w:hAnsi="Calibri"/>
          <w:b/>
          <w:color w:val="525866"/>
          <w:sz w:val="22"/>
        </w:rPr>
        <w:t xml:space="preserve">Since Q1 2026 earnings (April 23, 2026): </w:t>
      </w:r>
      <w:r>
        <w:rPr>
          <w:rFonts w:ascii="Calibri" w:hAnsi="Calibri"/>
          <w:color w:val="525866"/>
          <w:sz w:val="22"/>
        </w:rPr>
        <w:t>TMO +12.8%, XBI +13.1%, SPY +5.5%. TMO has tracked the biotech sector closely, suggesting the move is sector-driven rather than company-specific alpha.</w:t>
      </w:r>
    </w:p>
    <w:p>
      <w:pPr>
        <w:pStyle w:val="ListBullet"/>
        <w:ind w:left="360" w:hanging="360"/>
      </w:pPr>
      <w:r>
        <w:rPr>
          <w:rFonts w:ascii="Calibri" w:hAnsi="Calibri"/>
          <w:b/>
          <w:color w:val="525866"/>
          <w:sz w:val="22"/>
        </w:rPr>
        <w:t xml:space="preserve">Investor Day (May 20, 2026): </w:t>
      </w:r>
      <w:r>
        <w:rPr>
          <w:rFonts w:ascii="Calibri" w:hAnsi="Calibri"/>
          <w:color w:val="525866"/>
          <w:sz w:val="22"/>
        </w:rPr>
        <w:t>Management reaffirmed 7% long-term organic CAGR and upgraded adj. operating income outlook to high-single-digit growth for both 2026 and 2027. The event was broadly well-received, supporting the stock’s continued recovery.</w:t>
      </w:r>
    </w:p>
    <w:p>
      <w:pPr>
        <w:pStyle w:val="ListBullet"/>
        <w:ind w:left="360" w:hanging="360"/>
      </w:pPr>
      <w:r>
        <w:rPr>
          <w:rFonts w:ascii="Calibri" w:hAnsi="Calibri"/>
          <w:b/>
          <w:color w:val="525866"/>
          <w:sz w:val="22"/>
        </w:rPr>
        <w:t xml:space="preserve">HSBC Downgrade (June 3, 2026): </w:t>
      </w:r>
      <w:r>
        <w:rPr>
          <w:rFonts w:ascii="Calibri" w:hAnsi="Calibri"/>
          <w:color w:val="525866"/>
          <w:sz w:val="22"/>
        </w:rPr>
        <w:t>HSBC downgraded TMO from Buy to Hold and cut its price target from $670 to $540, citing valuation and near-term organic growth uncertainty. This was the most notable negative analyst action in the period.</w:t>
      </w:r>
    </w:p>
    <w:p>
      <w:pPr>
        <w:pStyle w:val="ListBullet"/>
        <w:ind w:left="360" w:hanging="360"/>
      </w:pPr>
      <w:r>
        <w:rPr>
          <w:rFonts w:ascii="Calibri" w:hAnsi="Calibri"/>
          <w:b/>
          <w:color w:val="525866"/>
          <w:sz w:val="22"/>
        </w:rPr>
        <w:t xml:space="preserve">Valuation context: </w:t>
      </w:r>
      <w:r>
        <w:rPr>
          <w:rFonts w:ascii="Calibri" w:hAnsi="Calibri"/>
          <w:color w:val="525866"/>
          <w:sz w:val="22"/>
        </w:rPr>
        <w:t>At ~$526, TMO trades at approximately 21x forward adjusted EPS ($24.85 consensus), near the low end of its historical range. Consensus price target of ~$602 implies ~14% upside, with 25 analysts covering the stock at a “Moderate Buy” consensus.</w:t>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Peer commentary from Danaher (DHR, reported July 21) and Agilent (A, reported May 27) is broadly constructive for TMO’s Q2 print — both confirm pharma/biotech demand recovery, improving biotech funding, and academic/government stabilization. The key risk read-through is DHR’s Cytiva bioprocessing shipment push-outs (~$50–60M in Q2, ~$100M+ for the full year), which could signal similar timing dynamics in TMO’s bioproduction business.</w:t>
      </w:r>
    </w:p>
    <w:p>
      <w:pPr>
        <w:pStyle w:val="Heading3"/>
      </w:pPr>
      <w:r>
        <w:rPr>
          <w:rFonts w:ascii="Calibri" w:hAnsi="Calibri"/>
          <w:b/>
          <w:color w:val="3B4259"/>
          <w:sz w:val="24"/>
        </w:rPr>
        <w:t>Danaher (DHR) — Q2 2026 Earnings (Reported July 21, 2026)</w:t>
      </w:r>
    </w:p>
    <w:p>
      <w:r>
        <w:rPr>
          <w:rFonts w:ascii="Calibri" w:hAnsi="Calibri"/>
          <w:b/>
          <w:color w:val="525866"/>
          <w:sz w:val="22"/>
        </w:rPr>
        <w:t xml:space="preserve">Relevance to TMO: </w:t>
      </w:r>
      <w:r>
        <w:rPr>
          <w:rFonts w:ascii="Calibri" w:hAnsi="Calibri"/>
          <w:color w:val="525866"/>
          <w:sz w:val="22"/>
        </w:rPr>
        <w:t>DHR’s Cytiva bioprocessing franchise is the most direct read-through to TMO’s bioproduction business. DHR also provides read-throughs on life sciences tools demand, academic/government funding, and China market conditions.</w:t>
      </w:r>
    </w:p>
    <w:p>
      <w:pPr>
        <w:pStyle w:val="ListBullet"/>
        <w:ind w:left="360" w:hanging="360"/>
      </w:pPr>
      <w:r>
        <w:rPr>
          <w:rFonts w:ascii="Calibri" w:hAnsi="Calibri"/>
          <w:b/>
          <w:color w:val="525866"/>
          <w:sz w:val="22"/>
        </w:rPr>
        <w:t xml:space="preserve">Pharma/Biotech demand: </w:t>
      </w:r>
      <w:r>
        <w:rPr>
          <w:rFonts w:ascii="Calibri" w:hAnsi="Calibri"/>
          <w:color w:val="525866"/>
          <w:sz w:val="22"/>
        </w:rPr>
        <w:t xml:space="preserve">DHR’s life sciences businesses delivered their “strongest quarter in several years,” with core revenue up 5.5% in Q2. Large pharma and biopharma customers are “progressing back to normal,” and improved biotech funding is “starting to read through” into orders and, on the margins, revenue. → </w:t>
      </w:r>
      <w:r>
        <w:rPr>
          <w:rFonts w:ascii="Calibri" w:hAnsi="Calibri"/>
          <w:b/>
          <w:color w:val="525866"/>
          <w:sz w:val="22"/>
        </w:rPr>
        <w:t>Positive read-through for TMO’s pharma/biotech end market, which management guided to mid-single-digit growth in Q2.</w:t>
      </w:r>
    </w:p>
    <w:p>
      <w:pPr>
        <w:pStyle w:val="ListBullet"/>
        <w:ind w:left="360" w:hanging="360"/>
      </w:pPr>
      <w:r>
        <w:rPr>
          <w:rFonts w:ascii="Calibri" w:hAnsi="Calibri"/>
          <w:b/>
          <w:color w:val="525866"/>
          <w:sz w:val="22"/>
        </w:rPr>
        <w:t xml:space="preserve">Bioprocessing — KEY RISK: </w:t>
      </w:r>
      <w:r>
        <w:rPr>
          <w:rFonts w:ascii="Calibri" w:hAnsi="Calibri"/>
          <w:color w:val="525866"/>
          <w:sz w:val="22"/>
        </w:rPr>
        <w:t xml:space="preserve">Cytiva bioprocessing grew only low single digits in Q2, impacted by ~$50–60M of chromatography resin shipment push-outs due to “customer production schedule changes and site readiness challenges.” DHR noted ~$100M+ shifted out of Q2/Q3 into 2027 for the full year, representing ~200 bps headwind to full-year bioprocessing growth. Underlying demand remained healthy with mid-teens order growth. → </w:t>
      </w:r>
      <w:r>
        <w:rPr>
          <w:rFonts w:ascii="Calibri" w:hAnsi="Calibri"/>
          <w:b/>
          <w:color w:val="525866"/>
          <w:sz w:val="22"/>
        </w:rPr>
        <w:t>This is the most important risk read-through for TMO: if similar customer-driven timing dynamics affected TMO’s bioproduction business, it could weigh on Q2 organic growth and prompt a cautious tone on H2 phasing.</w:t>
      </w:r>
    </w:p>
    <w:p>
      <w:pPr>
        <w:pStyle w:val="ListBullet"/>
        <w:ind w:left="360" w:hanging="360"/>
      </w:pPr>
      <w:r>
        <w:rPr>
          <w:rFonts w:ascii="Calibri" w:hAnsi="Calibri"/>
          <w:b/>
          <w:color w:val="525866"/>
          <w:sz w:val="22"/>
        </w:rPr>
        <w:t xml:space="preserve">Bioprocessing equipment: </w:t>
      </w:r>
      <w:r>
        <w:rPr>
          <w:rFonts w:ascii="Calibri" w:hAnsi="Calibri"/>
          <w:color w:val="525866"/>
          <w:sz w:val="22"/>
        </w:rPr>
        <w:t xml:space="preserve">DHR saw equipment growth in Q2 for the first time in several quarters, driven by reshoring brownfield expansion translating into revenue. Management believes they are in the “early innings of a multi-year CapEx cycle.” → </w:t>
      </w:r>
      <w:r>
        <w:rPr>
          <w:rFonts w:ascii="Calibri" w:hAnsi="Calibri"/>
          <w:b/>
          <w:color w:val="525866"/>
          <w:sz w:val="22"/>
        </w:rPr>
        <w:t>Positive for TMO’s bioproduction equipment outlook and reshoring narrative.</w:t>
      </w:r>
    </w:p>
    <w:p>
      <w:pPr>
        <w:pStyle w:val="ListBullet"/>
        <w:ind w:left="360" w:hanging="360"/>
      </w:pPr>
      <w:r>
        <w:rPr>
          <w:rFonts w:ascii="Calibri" w:hAnsi="Calibri"/>
          <w:b/>
          <w:color w:val="525866"/>
          <w:sz w:val="22"/>
        </w:rPr>
        <w:t xml:space="preserve">Academic/Government: </w:t>
      </w:r>
      <w:r>
        <w:rPr>
          <w:rFonts w:ascii="Calibri" w:hAnsi="Calibri"/>
          <w:color w:val="525866"/>
          <w:sz w:val="22"/>
        </w:rPr>
        <w:t xml:space="preserve">DHR noted academic and government markets have “largely stabilized,” with academic demand improving modestly as Q2 progressed but “remaining below normal levels.” Management would not call an inflection point and expects “stability” for now. Academia is less than 5% of DHR revenues. → </w:t>
      </w:r>
      <w:r>
        <w:rPr>
          <w:rFonts w:ascii="Calibri" w:hAnsi="Calibri"/>
          <w:b/>
          <w:color w:val="525866"/>
          <w:sz w:val="22"/>
        </w:rPr>
        <w:t>Consistent with TMO’s assumption of greater stability but not a return to normal in academic/government.</w:t>
      </w:r>
    </w:p>
    <w:p>
      <w:pPr>
        <w:pStyle w:val="ListBullet"/>
        <w:ind w:left="360" w:hanging="360"/>
      </w:pPr>
      <w:r>
        <w:rPr>
          <w:rFonts w:ascii="Calibri" w:hAnsi="Calibri"/>
          <w:b/>
          <w:color w:val="525866"/>
          <w:sz w:val="22"/>
        </w:rPr>
        <w:t xml:space="preserve">China: </w:t>
      </w:r>
      <w:r>
        <w:rPr>
          <w:rFonts w:ascii="Calibri" w:hAnsi="Calibri"/>
          <w:color w:val="525866"/>
          <w:sz w:val="22"/>
        </w:rPr>
        <w:t xml:space="preserve">DHR’s high-growth markets (including China) grew more than 10%, with China specifically showing mid-single-digit growth. Biotechnology in China delivered “another quarter of solid growth,” and life sciences market conditions “continued to stabilize.” China policy headwinds are “starting to lessen.” → </w:t>
      </w:r>
      <w:r>
        <w:rPr>
          <w:rFonts w:ascii="Calibri" w:hAnsi="Calibri"/>
          <w:b/>
          <w:color w:val="525866"/>
          <w:sz w:val="22"/>
        </w:rPr>
        <w:t>Incrementally positive for TMO’s China pharma/biotech exposure, though TMO is not assuming meaningful China growth in its guidance.</w:t>
      </w:r>
    </w:p>
    <w:p>
      <w:pPr>
        <w:pStyle w:val="ListBullet"/>
        <w:ind w:left="360" w:hanging="360"/>
      </w:pPr>
      <w:r>
        <w:rPr>
          <w:rFonts w:ascii="Calibri" w:hAnsi="Calibri"/>
          <w:b/>
          <w:color w:val="525866"/>
          <w:sz w:val="22"/>
        </w:rPr>
        <w:t xml:space="preserve">Full-year outlook: </w:t>
      </w:r>
      <w:r>
        <w:rPr>
          <w:rFonts w:ascii="Calibri" w:hAnsi="Calibri"/>
          <w:color w:val="525866"/>
          <w:sz w:val="22"/>
        </w:rPr>
        <w:t xml:space="preserve">DHR raised FY 2026 core revenue growth outlook to 3%–4% (anchoring to low end) and raised adj. EPS guidance to $8.45–$8.60. Updated outlook reflects higher life sciences growth offset by more conservative bioprocessing. → </w:t>
      </w:r>
      <w:r>
        <w:rPr>
          <w:rFonts w:ascii="Calibri" w:hAnsi="Calibri"/>
          <w:b/>
          <w:color w:val="525866"/>
          <w:sz w:val="22"/>
        </w:rPr>
        <w:t>Broadly consistent with TMO’s own guidance framework.</w:t>
      </w:r>
    </w:p>
    <w:p>
      <w:pPr>
        <w:pStyle w:val="Heading3"/>
      </w:pPr>
      <w:r>
        <w:rPr>
          <w:rFonts w:ascii="Calibri" w:hAnsi="Calibri"/>
          <w:b/>
          <w:color w:val="3B4259"/>
          <w:sz w:val="24"/>
        </w:rPr>
        <w:t>Agilent Technologies (A) — Q2 FY2026 Earnings (Reported May 27, 2026)</w:t>
      </w:r>
    </w:p>
    <w:p>
      <w:r>
        <w:rPr>
          <w:rFonts w:ascii="Calibri" w:hAnsi="Calibri"/>
          <w:b/>
          <w:color w:val="525866"/>
          <w:sz w:val="22"/>
        </w:rPr>
        <w:t xml:space="preserve">Relevance to TMO: </w:t>
      </w:r>
      <w:r>
        <w:rPr>
          <w:rFonts w:ascii="Calibri" w:hAnsi="Calibri"/>
          <w:color w:val="525866"/>
          <w:sz w:val="22"/>
        </w:rPr>
        <w:t>Agilent provides read-throughs on pharma/biotech demand, analytical instruments, GLP-1 momentum, academic/government funding, China conditions, and specialty CDMO (Advanced Therapeutics). Agilent’s fiscal Q2 ended April 30, 2026, covering the same calendar period as TMO’s Q1 2026 and the early weeks of TMO’s Q2 2026.</w:t>
      </w:r>
    </w:p>
    <w:p>
      <w:pPr>
        <w:pStyle w:val="ListBullet"/>
        <w:ind w:left="360" w:hanging="360"/>
      </w:pPr>
      <w:r>
        <w:rPr>
          <w:rFonts w:ascii="Calibri" w:hAnsi="Calibri"/>
          <w:b/>
          <w:color w:val="525866"/>
          <w:sz w:val="22"/>
        </w:rPr>
        <w:t xml:space="preserve">Pharma/Biotech demand: </w:t>
      </w:r>
      <w:r>
        <w:rPr>
          <w:rFonts w:ascii="Calibri" w:hAnsi="Calibri"/>
          <w:color w:val="525866"/>
          <w:sz w:val="22"/>
        </w:rPr>
        <w:t xml:space="preserve">Pharma grew 6% in Agilent’s Q2, marking the fifth consecutive quarter of mid-single-digit to low double-digit growth. Biotech grew low double digits for the third consecutive quarter, led by large caps, with positive demand signals from small-to-mid caps beginning to emerge. Full-year pharma guidance maintained at high single-digit growth. → </w:t>
      </w:r>
      <w:r>
        <w:rPr>
          <w:rFonts w:ascii="Calibri" w:hAnsi="Calibri"/>
          <w:b/>
          <w:color w:val="525866"/>
          <w:sz w:val="22"/>
        </w:rPr>
        <w:t>Strong positive read-through for TMO’s pharma/biotech end market.</w:t>
      </w:r>
    </w:p>
    <w:p>
      <w:pPr>
        <w:pStyle w:val="ListBullet"/>
        <w:ind w:left="360" w:hanging="360"/>
      </w:pPr>
      <w:r>
        <w:rPr>
          <w:rFonts w:ascii="Calibri" w:hAnsi="Calibri"/>
          <w:b/>
          <w:color w:val="525866"/>
          <w:sz w:val="22"/>
        </w:rPr>
        <w:t xml:space="preserve">GLP-1 momentum: </w:t>
      </w:r>
      <w:r>
        <w:rPr>
          <w:rFonts w:ascii="Calibri" w:hAnsi="Calibri"/>
          <w:color w:val="525866"/>
          <w:sz w:val="22"/>
        </w:rPr>
        <w:t xml:space="preserve">Agilent’s GLP-1 business delivered ~20% growth year-to-date, with a robust contribution from the analytical lab business in Q2. → </w:t>
      </w:r>
      <w:r>
        <w:rPr>
          <w:rFonts w:ascii="Calibri" w:hAnsi="Calibri"/>
          <w:b/>
          <w:color w:val="525866"/>
          <w:sz w:val="22"/>
        </w:rPr>
        <w:t>Positive read-through for TMO’s bioproduction and analytical instruments exposure to GLP-1 manufacturing.</w:t>
      </w:r>
    </w:p>
    <w:p>
      <w:pPr>
        <w:pStyle w:val="ListBullet"/>
        <w:ind w:left="360" w:hanging="360"/>
      </w:pPr>
      <w:r>
        <w:rPr>
          <w:rFonts w:ascii="Calibri" w:hAnsi="Calibri"/>
          <w:b/>
          <w:color w:val="525866"/>
          <w:sz w:val="22"/>
        </w:rPr>
        <w:t xml:space="preserve">Instruments demand: </w:t>
      </w:r>
      <w:r>
        <w:rPr>
          <w:rFonts w:ascii="Calibri" w:hAnsi="Calibri"/>
          <w:color w:val="525866"/>
          <w:sz w:val="22"/>
        </w:rPr>
        <w:t xml:space="preserve">Agilent reported high single-digit instrument revenue growth in Q2, including market-leading low double-digit growth in LC, LC/MS, and GC. Book-to-bill above 1 for the ninth consecutive quarter. → </w:t>
      </w:r>
      <w:r>
        <w:rPr>
          <w:rFonts w:ascii="Calibri" w:hAnsi="Calibri"/>
          <w:b/>
          <w:color w:val="525866"/>
          <w:sz w:val="22"/>
        </w:rPr>
        <w:t>Positive for TMO’s analytical instruments segment, which declined 2% organically in Q1 on academic/government weakness.</w:t>
      </w:r>
    </w:p>
    <w:p>
      <w:pPr>
        <w:pStyle w:val="ListBullet"/>
        <w:ind w:left="360" w:hanging="360"/>
      </w:pPr>
      <w:r>
        <w:rPr>
          <w:rFonts w:ascii="Calibri" w:hAnsi="Calibri"/>
          <w:b/>
          <w:color w:val="525866"/>
          <w:sz w:val="22"/>
        </w:rPr>
        <w:t xml:space="preserve">Specialty CDMO (Advanced Therapeutics): </w:t>
      </w:r>
      <w:r>
        <w:rPr>
          <w:rFonts w:ascii="Calibri" w:hAnsi="Calibri"/>
          <w:color w:val="525866"/>
          <w:sz w:val="22"/>
        </w:rPr>
        <w:t xml:space="preserve">Agilent’s Advanced Therapeutics division (rebranded specialty CDMO) grew high single digits in Q2, within expectations. Full-year guidance maintained at mid-teens growth, with H2 pickup expected. Mechanical completion of Train C achieved, with revenue generation expected spring 2027. → </w:t>
      </w:r>
      <w:r>
        <w:rPr>
          <w:rFonts w:ascii="Calibri" w:hAnsi="Calibri"/>
          <w:b/>
          <w:color w:val="525866"/>
          <w:sz w:val="22"/>
        </w:rPr>
        <w:t>Positive read-through for TMO’s pharma services business, which management guided to much stronger H2 growth.</w:t>
      </w:r>
    </w:p>
    <w:p>
      <w:pPr>
        <w:pStyle w:val="ListBullet"/>
        <w:ind w:left="360" w:hanging="360"/>
      </w:pPr>
      <w:r>
        <w:rPr>
          <w:rFonts w:ascii="Calibri" w:hAnsi="Calibri"/>
          <w:b/>
          <w:color w:val="525866"/>
          <w:sz w:val="22"/>
        </w:rPr>
        <w:t xml:space="preserve">Academic/Government: </w:t>
      </w:r>
      <w:r>
        <w:rPr>
          <w:rFonts w:ascii="Calibri" w:hAnsi="Calibri"/>
          <w:color w:val="525866"/>
          <w:sz w:val="22"/>
        </w:rPr>
        <w:t xml:space="preserve">Agilent’s academic and government end market declined 5% in Q2, in line with expectations. Americas was flat. OMB redistribution of funds is beginning to happen, suggesting gradual stabilization. Full-year guidance maintained at low single-digit decline. → </w:t>
      </w:r>
      <w:r>
        <w:rPr>
          <w:rFonts w:ascii="Calibri" w:hAnsi="Calibri"/>
          <w:b/>
          <w:color w:val="525866"/>
          <w:sz w:val="22"/>
        </w:rPr>
        <w:t>Consistent with TMO’s assumption of greater stability but not recovery in academic/government.</w:t>
      </w:r>
    </w:p>
    <w:p>
      <w:pPr>
        <w:pStyle w:val="ListBullet"/>
        <w:ind w:left="360" w:hanging="360"/>
      </w:pPr>
      <w:r>
        <w:rPr>
          <w:rFonts w:ascii="Calibri" w:hAnsi="Calibri"/>
          <w:b/>
          <w:color w:val="525866"/>
          <w:sz w:val="22"/>
        </w:rPr>
        <w:t xml:space="preserve">China: </w:t>
      </w:r>
      <w:r>
        <w:rPr>
          <w:rFonts w:ascii="Calibri" w:hAnsi="Calibri"/>
          <w:color w:val="525866"/>
          <w:sz w:val="22"/>
        </w:rPr>
        <w:t xml:space="preserve">China declined 9% in Agilent’s Q2, “a bit more than expected,” driven by tightened and delayed government spending in academic/government and food markets. However, on a first-half basis, China was roughly flat, in line with the full-year guide. Agilent expects China stimulus to come in at the start of next year. → </w:t>
      </w:r>
      <w:r>
        <w:rPr>
          <w:rFonts w:ascii="Calibri" w:hAnsi="Calibri"/>
          <w:b/>
          <w:color w:val="525866"/>
          <w:sz w:val="22"/>
        </w:rPr>
        <w:t>Mixed read-through for TMO’s China exposure; TMO’s China is more pharma/biotech-weighted (performing well) vs. Agilent’s broader exposure.</w:t>
      </w:r>
    </w:p>
    <w:p>
      <w:pPr>
        <w:pStyle w:val="ListBullet"/>
        <w:ind w:left="360" w:hanging="360"/>
      </w:pPr>
      <w:r>
        <w:rPr>
          <w:rFonts w:ascii="Calibri" w:hAnsi="Calibri"/>
          <w:b/>
          <w:color w:val="525866"/>
          <w:sz w:val="22"/>
        </w:rPr>
        <w:t xml:space="preserve">Tariff mitigation: </w:t>
      </w:r>
      <w:r>
        <w:rPr>
          <w:rFonts w:ascii="Calibri" w:hAnsi="Calibri"/>
          <w:color w:val="525866"/>
          <w:sz w:val="22"/>
        </w:rPr>
        <w:t xml:space="preserve">Agilent’s tariff task force achieved full mitigation of incremental tariffs by Q2, delivering ~200 bps of pricing. → </w:t>
      </w:r>
      <w:r>
        <w:rPr>
          <w:rFonts w:ascii="Calibri" w:hAnsi="Calibri"/>
          <w:b/>
          <w:color w:val="525866"/>
          <w:sz w:val="22"/>
        </w:rPr>
        <w:t>Positive read-through for TMO’s PPI Business System-driven tariff mitigation efforts.</w:t>
      </w:r>
    </w:p>
    <w:p>
      <w:pPr>
        <w:pStyle w:val="ListBullet"/>
        <w:ind w:left="360" w:hanging="360"/>
      </w:pPr>
      <w:r>
        <w:rPr>
          <w:rFonts w:ascii="Calibri" w:hAnsi="Calibri"/>
          <w:b/>
          <w:color w:val="525866"/>
          <w:sz w:val="22"/>
        </w:rPr>
        <w:t xml:space="preserve">Full-year outlook raised: </w:t>
      </w:r>
      <w:r>
        <w:rPr>
          <w:rFonts w:ascii="Calibri" w:hAnsi="Calibri"/>
          <w:color w:val="525866"/>
          <w:sz w:val="22"/>
        </w:rPr>
        <w:t xml:space="preserve">Agilent raised FY 2026 core growth guidance to 4.5%–6% (midpoint +30 bps vs. prior), raised EPS guidance to $6.00–$6.10 (+$0.08 at midpoint), and raised margin expansion target to 85 bps. → </w:t>
      </w:r>
      <w:r>
        <w:rPr>
          <w:rFonts w:ascii="Calibri" w:hAnsi="Calibri"/>
          <w:b/>
          <w:color w:val="525866"/>
          <w:sz w:val="22"/>
        </w:rPr>
        <w:t>Positive sector signal; Agilent’s guidance raise supports the broader life sciences tools recovery narrative.</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DHR Signal (Jul 21)</w:t>
            </w:r>
          </w:p>
        </w:tc>
        <w:tc>
          <w:tcPr>
            <w:tcW w:type="dxa" w:w="2160"/>
            <w:shd w:val="clear" w:color="auto" w:fill="3B4259"/>
          </w:tcPr>
          <w:p>
            <w:r>
              <w:rPr>
                <w:rFonts w:ascii="Calibri" w:hAnsi="Calibri"/>
                <w:b/>
                <w:color w:val="FFFFFF"/>
                <w:sz w:val="22"/>
              </w:rPr>
              <w:t>Agilent Signal (May 27)</w:t>
            </w:r>
          </w:p>
        </w:tc>
        <w:tc>
          <w:tcPr>
            <w:tcW w:type="dxa" w:w="2160"/>
            <w:shd w:val="clear" w:color="auto" w:fill="3B4259"/>
          </w:tcPr>
          <w:p>
            <w:r>
              <w:rPr>
                <w:rFonts w:ascii="Calibri" w:hAnsi="Calibri"/>
                <w:b/>
                <w:color w:val="FFFFFF"/>
                <w:sz w:val="22"/>
              </w:rPr>
              <w:t>Implication for TMO Q2</w:t>
            </w:r>
          </w:p>
        </w:tc>
      </w:tr>
      <w:tr>
        <w:tc>
          <w:tcPr>
            <w:tcW w:type="dxa" w:w="2160"/>
          </w:tcPr>
          <w:p>
            <w:r>
              <w:rPr>
                <w:rFonts w:ascii="Calibri" w:hAnsi="Calibri"/>
                <w:sz w:val="22"/>
              </w:rPr>
              <w:t>Pharma/Biotech Demand</w:t>
            </w:r>
          </w:p>
        </w:tc>
        <w:tc>
          <w:tcPr>
            <w:tcW w:type="dxa" w:w="2160"/>
          </w:tcPr>
          <w:p>
            <w:r>
              <w:rPr>
                <w:rFonts w:ascii="Calibri" w:hAnsi="Calibri"/>
                <w:b/>
                <w:color w:val="30A46C"/>
                <w:sz w:val="22"/>
              </w:rPr>
              <w:t>Positive — strongest LS quarter in years; biotech funding reading through</w:t>
            </w:r>
          </w:p>
        </w:tc>
        <w:tc>
          <w:tcPr>
            <w:tcW w:type="dxa" w:w="2160"/>
          </w:tcPr>
          <w:p>
            <w:r>
              <w:rPr>
                <w:rFonts w:ascii="Calibri" w:hAnsi="Calibri"/>
                <w:b/>
                <w:color w:val="30A46C"/>
                <w:sz w:val="22"/>
              </w:rPr>
              <w:t>Positive — 5th consecutive mid-to-high single digit pharma growth; biotech low double digits</w:t>
            </w:r>
          </w:p>
        </w:tc>
        <w:tc>
          <w:tcPr>
            <w:tcW w:type="dxa" w:w="2160"/>
          </w:tcPr>
          <w:p>
            <w:r>
              <w:rPr>
                <w:rFonts w:ascii="Calibri" w:hAnsi="Calibri"/>
                <w:b/>
                <w:color w:val="30A46C"/>
                <w:sz w:val="22"/>
              </w:rPr>
              <w:t>Supports TMO’s mid-single-digit pharma/biotech guidance</w:t>
            </w:r>
          </w:p>
        </w:tc>
      </w:tr>
      <w:tr>
        <w:tc>
          <w:tcPr>
            <w:tcW w:type="dxa" w:w="2160"/>
          </w:tcPr>
          <w:p>
            <w:r>
              <w:rPr>
                <w:rFonts w:ascii="Calibri" w:hAnsi="Calibri"/>
                <w:sz w:val="22"/>
              </w:rPr>
              <w:t>Bioprocessing / Bioproduction</w:t>
            </w:r>
          </w:p>
        </w:tc>
        <w:tc>
          <w:tcPr>
            <w:tcW w:type="dxa" w:w="2160"/>
          </w:tcPr>
          <w:p>
            <w:r>
              <w:rPr>
                <w:rFonts w:ascii="Calibri" w:hAnsi="Calibri"/>
                <w:b/>
                <w:color w:val="E5484D"/>
                <w:sz w:val="22"/>
              </w:rPr>
              <w:t>RISK — ~$50-60M resin push-outs; ~$100M+ shifted to 2027</w:t>
            </w:r>
          </w:p>
        </w:tc>
        <w:tc>
          <w:tcPr>
            <w:tcW w:type="dxa" w:w="2160"/>
          </w:tcPr>
          <w:p>
            <w:r>
              <w:rPr>
                <w:rFonts w:ascii="Calibri" w:hAnsi="Calibri"/>
                <w:b/>
                <w:color w:val="30A46C"/>
                <w:sz w:val="22"/>
              </w:rPr>
              <w:t>Positive — CDMO high single-digit growth; mid-teens FY guidance maintained</w:t>
            </w:r>
          </w:p>
        </w:tc>
        <w:tc>
          <w:tcPr>
            <w:tcW w:type="dxa" w:w="2160"/>
          </w:tcPr>
          <w:p>
            <w:r>
              <w:rPr>
                <w:rFonts w:ascii="Calibri" w:hAnsi="Calibri"/>
                <w:b/>
                <w:color w:val="E5484D"/>
                <w:sz w:val="22"/>
              </w:rPr>
              <w:t>Key risk: similar timing dynamics could weigh on TMO bioproduction</w:t>
            </w:r>
          </w:p>
        </w:tc>
      </w:tr>
      <w:tr>
        <w:tc>
          <w:tcPr>
            <w:tcW w:type="dxa" w:w="2160"/>
          </w:tcPr>
          <w:p>
            <w:r>
              <w:rPr>
                <w:rFonts w:ascii="Calibri" w:hAnsi="Calibri"/>
                <w:sz w:val="22"/>
              </w:rPr>
              <w:t>Academic/Government</w:t>
            </w:r>
          </w:p>
        </w:tc>
        <w:tc>
          <w:tcPr>
            <w:tcW w:type="dxa" w:w="2160"/>
          </w:tcPr>
          <w:p>
            <w:r>
              <w:rPr>
                <w:rFonts w:ascii="Calibri" w:hAnsi="Calibri"/>
                <w:b/>
                <w:color w:val="002FA7"/>
                <w:sz w:val="22"/>
              </w:rPr>
              <w:t>Neutral — stabilized but below normal; no inflection point called</w:t>
            </w:r>
          </w:p>
        </w:tc>
        <w:tc>
          <w:tcPr>
            <w:tcW w:type="dxa" w:w="2160"/>
          </w:tcPr>
          <w:p>
            <w:r>
              <w:rPr>
                <w:rFonts w:ascii="Calibri" w:hAnsi="Calibri"/>
                <w:b/>
                <w:color w:val="002FA7"/>
                <w:sz w:val="22"/>
              </w:rPr>
              <w:t>Neutral — declined 5%, in line; OMB redistribution beginning</w:t>
            </w:r>
          </w:p>
        </w:tc>
        <w:tc>
          <w:tcPr>
            <w:tcW w:type="dxa" w:w="2160"/>
          </w:tcPr>
          <w:p>
            <w:r>
              <w:rPr>
                <w:rFonts w:ascii="Calibri" w:hAnsi="Calibri"/>
                <w:sz w:val="22"/>
              </w:rPr>
              <w:t>Consistent with TMO’s “greater stability” assumption</w:t>
            </w:r>
          </w:p>
        </w:tc>
      </w:tr>
      <w:tr>
        <w:tc>
          <w:tcPr>
            <w:tcW w:type="dxa" w:w="2160"/>
          </w:tcPr>
          <w:p>
            <w:r>
              <w:rPr>
                <w:rFonts w:ascii="Calibri" w:hAnsi="Calibri"/>
                <w:sz w:val="22"/>
              </w:rPr>
              <w:t>China</w:t>
            </w:r>
          </w:p>
        </w:tc>
        <w:tc>
          <w:tcPr>
            <w:tcW w:type="dxa" w:w="2160"/>
          </w:tcPr>
          <w:p>
            <w:r>
              <w:rPr>
                <w:rFonts w:ascii="Calibri" w:hAnsi="Calibri"/>
                <w:b/>
                <w:color w:val="30A46C"/>
                <w:sz w:val="22"/>
              </w:rPr>
              <w:t>Positive — mid-single-digit growth; biotech solid; headwinds lessening</w:t>
            </w:r>
          </w:p>
        </w:tc>
        <w:tc>
          <w:tcPr>
            <w:tcW w:type="dxa" w:w="2160"/>
          </w:tcPr>
          <w:p>
            <w:r>
              <w:rPr>
                <w:rFonts w:ascii="Calibri" w:hAnsi="Calibri"/>
                <w:b/>
                <w:color w:val="002FA7"/>
                <w:sz w:val="22"/>
              </w:rPr>
              <w:t>Mixed — down 9% overall but flat H1; pharma/biotech performing well</w:t>
            </w:r>
          </w:p>
        </w:tc>
        <w:tc>
          <w:tcPr>
            <w:tcW w:type="dxa" w:w="2160"/>
          </w:tcPr>
          <w:p>
            <w:r>
              <w:rPr>
                <w:rFonts w:ascii="Calibri" w:hAnsi="Calibri"/>
                <w:sz w:val="22"/>
              </w:rPr>
              <w:t>TMO’s pharma/biotech-weighted China exposure likely outperforming</w:t>
            </w:r>
          </w:p>
        </w:tc>
      </w:tr>
      <w:tr>
        <w:tc>
          <w:tcPr>
            <w:tcW w:type="dxa" w:w="2160"/>
          </w:tcPr>
          <w:p>
            <w:r>
              <w:rPr>
                <w:rFonts w:ascii="Calibri" w:hAnsi="Calibri"/>
                <w:sz w:val="22"/>
              </w:rPr>
              <w:t>Tariff / Inflation Mitigation</w:t>
            </w:r>
          </w:p>
        </w:tc>
        <w:tc>
          <w:tcPr>
            <w:tcW w:type="dxa" w:w="2160"/>
          </w:tcPr>
          <w:p>
            <w:r>
              <w:rPr>
                <w:rFonts w:ascii="Calibri" w:hAnsi="Calibri"/>
                <w:b/>
                <w:color w:val="002FA7"/>
                <w:sz w:val="22"/>
              </w:rPr>
              <w:t>Neutral — managed through cost discipline</w:t>
            </w:r>
          </w:p>
        </w:tc>
        <w:tc>
          <w:tcPr>
            <w:tcW w:type="dxa" w:w="2160"/>
          </w:tcPr>
          <w:p>
            <w:r>
              <w:rPr>
                <w:rFonts w:ascii="Calibri" w:hAnsi="Calibri"/>
                <w:b/>
                <w:color w:val="30A46C"/>
                <w:sz w:val="22"/>
              </w:rPr>
              <w:t>Positive — full tariff mitigation achieved; 200 bps pricing</w:t>
            </w:r>
          </w:p>
        </w:tc>
        <w:tc>
          <w:tcPr>
            <w:tcW w:type="dxa" w:w="2160"/>
          </w:tcPr>
          <w:p>
            <w:r>
              <w:rPr>
                <w:rFonts w:ascii="Calibri" w:hAnsi="Calibri"/>
                <w:sz w:val="22"/>
              </w:rPr>
              <w:t>Supports TMO’s PPI Business System mitigation narrative</w:t>
            </w:r>
          </w:p>
        </w:tc>
      </w:tr>
      <w:tr>
        <w:tc>
          <w:tcPr>
            <w:tcW w:type="dxa" w:w="2160"/>
          </w:tcPr>
          <w:p>
            <w:r>
              <w:rPr>
                <w:rFonts w:ascii="Calibri" w:hAnsi="Calibri"/>
                <w:sz w:val="22"/>
              </w:rPr>
              <w:t>Reshoring / CapEx Cycle</w:t>
            </w:r>
          </w:p>
        </w:tc>
        <w:tc>
          <w:tcPr>
            <w:tcW w:type="dxa" w:w="2160"/>
          </w:tcPr>
          <w:p>
            <w:r>
              <w:rPr>
                <w:rFonts w:ascii="Calibri" w:hAnsi="Calibri"/>
                <w:b/>
                <w:color w:val="30A46C"/>
                <w:sz w:val="22"/>
              </w:rPr>
              <w:t>Positive — equipment growth; early innings of multi-year CapEx cycle</w:t>
            </w:r>
          </w:p>
        </w:tc>
        <w:tc>
          <w:tcPr>
            <w:tcW w:type="dxa" w:w="2160"/>
          </w:tcPr>
          <w:p>
            <w:r>
              <w:rPr>
                <w:rFonts w:ascii="Calibri" w:hAnsi="Calibri"/>
                <w:b/>
                <w:color w:val="30A46C"/>
                <w:sz w:val="22"/>
              </w:rPr>
              <w:t>Positive — U.S. reshoring orders expected end of FY; revenue in FY27</w:t>
            </w:r>
          </w:p>
        </w:tc>
        <w:tc>
          <w:tcPr>
            <w:tcW w:type="dxa" w:w="2160"/>
          </w:tcPr>
          <w:p>
            <w:r>
              <w:rPr>
                <w:rFonts w:ascii="Calibri" w:hAnsi="Calibri"/>
                <w:sz w:val="22"/>
              </w:rPr>
              <w:t>Validates TMO’s reshoring tailwind thesis for 2027–2028</w:t>
            </w:r>
          </w:p>
        </w:tc>
      </w:tr>
    </w:tbl>
    <w:p>
      <w:r>
        <w:rPr>
          <w:rFonts w:ascii="Calibri" w:hAnsi="Calibri"/>
          <w:i/>
          <w:color w:val="525866"/>
          <w:sz w:val="22"/>
        </w:rPr>
        <w:t>Sources: Danaher Q2 2026 Earnings Call transcript (July 21, 2026); Agilent Technologies Q2 FY2026 Earnings Call transcript (May 27,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May 20 Investor Day, where management upgraded the long-term financial framework and provided explicit confidence in the organic growth ramp — this is the primary catalyst for the stock’s recovery and sets a high bar for Q2 execution to validate.</w:t>
      </w:r>
    </w:p>
    <w:p>
      <w:pPr>
        <w:pStyle w:val="ListBullet"/>
        <w:ind w:left="360" w:hanging="360"/>
      </w:pPr>
      <w:r>
        <w:rPr>
          <w:rFonts w:ascii="Calibri" w:hAnsi="Calibri"/>
          <w:b/>
          <w:color w:val="525866"/>
          <w:sz w:val="22"/>
        </w:rPr>
        <w:t xml:space="preserve">May 20, 2026 — Investor Day (New York): </w:t>
      </w:r>
      <w:r>
        <w:rPr>
          <w:rFonts w:ascii="Calibri" w:hAnsi="Calibri"/>
          <w:color w:val="525866"/>
          <w:sz w:val="22"/>
        </w:rPr>
        <w:t xml:space="preserve">TMO hosted its 2026 Investor Day, reaffirming 3%–4% organic growth for 2026 and upgrading the long-term framework. Key highlights: (1) 7% long-term organic revenue CAGR (clarified from “7%+”); (2) adj. operating income growth upgraded to high-single-digit for both 2026 and 2027 (vs. prior mid-to-high single digit); (3) low-teens adj. EPS and FCF growth targeted long-term; (4) Clario integration on track for $175M adj. operating income by year 5; (5) AI strategy detailed — partnerships with OpenAI and NVIDIA, with first autonomous instruments to be deployed in H2 2026; (6) U.S. manufacturing reshoring commitments of ~$0.5 trillion from pharma customers flagged as a multi-year tailwind. </w:t>
      </w:r>
      <w:r>
        <w:rPr>
          <w:rFonts w:ascii="Calibri" w:hAnsi="Calibri"/>
          <w:b/>
          <w:color w:val="525866"/>
          <w:sz w:val="22"/>
        </w:rPr>
        <w:t>Implication: Sets a high bar for Q2 execution; any organic growth shortfall vs. the guided ramp would be particularly damaging given the confidence expressed at Investor Day.</w:t>
      </w:r>
    </w:p>
    <w:p>
      <w:pPr>
        <w:pStyle w:val="ListBullet"/>
        <w:ind w:left="360" w:hanging="360"/>
      </w:pPr>
      <w:r>
        <w:rPr>
          <w:rFonts w:ascii="Calibri" w:hAnsi="Calibri"/>
          <w:b/>
          <w:color w:val="525866"/>
          <w:sz w:val="22"/>
        </w:rPr>
        <w:t xml:space="preserve">April 23, 2026 — Q1 2026 Earnings Beat &amp; Guidance Raise: </w:t>
      </w:r>
      <w:r>
        <w:rPr>
          <w:rFonts w:ascii="Calibri" w:hAnsi="Calibri"/>
          <w:color w:val="525866"/>
          <w:sz w:val="22"/>
        </w:rPr>
        <w:t xml:space="preserve">TMO reported Q1 2026 revenue of $11.01B (+6.2% YoY, beat vs. $10.86B consensus) and adj. EPS of $5.44 (beat vs. $5.23 consensus, +$0.21). Full-year revenue guidance raised to $47.3B–$48.1B (from $46.3B–$47.2B) and adj. EPS raised to $24.64–$25.12 (from $24.22–$24.80), incorporating Clario ($900M revenue, $0.32 EPS). Organic growth of 1% was impacted by one fewer selling day (~1 pt) and pharma services phasing (~1 pt). Stock fell sharply despite the beat on organic growth trajectory concerns. </w:t>
      </w:r>
      <w:r>
        <w:rPr>
          <w:rFonts w:ascii="Calibri" w:hAnsi="Calibri"/>
          <w:b/>
          <w:color w:val="525866"/>
          <w:sz w:val="22"/>
        </w:rPr>
        <w:t>Implication: The negative stock reaction to a beat sets a lower emotional bar for Q2 — the market needs to see organic growth visibly inflecting.</w:t>
      </w:r>
    </w:p>
    <w:p>
      <w:pPr>
        <w:pStyle w:val="ListBullet"/>
        <w:ind w:left="360" w:hanging="360"/>
      </w:pPr>
      <w:r>
        <w:rPr>
          <w:rFonts w:ascii="Calibri" w:hAnsi="Calibri"/>
          <w:b/>
          <w:color w:val="525866"/>
          <w:sz w:val="22"/>
        </w:rPr>
        <w:t xml:space="preserve">Late March 2026 — Clario Acquisition Closed: </w:t>
      </w:r>
      <w:r>
        <w:rPr>
          <w:rFonts w:ascii="Calibri" w:hAnsi="Calibri"/>
          <w:color w:val="525866"/>
          <w:sz w:val="22"/>
        </w:rPr>
        <w:t xml:space="preserve">TMO closed the acquisition of Clario (endpoint data solutions for clinical trials) at the end of March 2026. Clario did $1.25B in revenue in 2025 and will contribute ~$900M to TMO’s 2026 revenue (9 months of ownership), adding ~20 bps to margins and $0.32 to adj. EPS. Clario has supported 30,000+ clinical trials globally and is actively working on 3,000 trials. </w:t>
      </w:r>
      <w:r>
        <w:rPr>
          <w:rFonts w:ascii="Calibri" w:hAnsi="Calibri"/>
          <w:b/>
          <w:color w:val="525866"/>
          <w:sz w:val="22"/>
        </w:rPr>
        <w:t>Implication: Clario is now fully consolidated in Q2 for the first time; any integration update or revenue contribution commentary will be closely watched.</w:t>
      </w:r>
    </w:p>
    <w:p>
      <w:pPr>
        <w:pStyle w:val="ListBullet"/>
        <w:ind w:left="360" w:hanging="360"/>
      </w:pPr>
      <w:r>
        <w:rPr>
          <w:rFonts w:ascii="Calibri" w:hAnsi="Calibri"/>
          <w:b/>
          <w:color w:val="525866"/>
          <w:sz w:val="22"/>
        </w:rPr>
        <w:t xml:space="preserve">June 3, 2026 — HSBC Downgrade (Buy → Hold, PT $670 → $540): </w:t>
      </w:r>
      <w:r>
        <w:rPr>
          <w:rFonts w:ascii="Calibri" w:hAnsi="Calibri"/>
          <w:color w:val="525866"/>
          <w:sz w:val="22"/>
        </w:rPr>
        <w:t xml:space="preserve">HSBC downgraded TMO from Buy to Hold and cut its price target from $670 to $540, citing valuation concerns and near-term organic growth uncertainty. This was the most notable negative analyst action in the post-Q1 period. </w:t>
      </w:r>
      <w:r>
        <w:rPr>
          <w:rFonts w:ascii="Calibri" w:hAnsi="Calibri"/>
          <w:b/>
          <w:color w:val="525866"/>
          <w:sz w:val="22"/>
        </w:rPr>
        <w:t>Implication: A Q2 beat with improving organic growth trajectory could prompt HSBC and other cautious analysts to revisit their stance.</w:t>
      </w:r>
    </w:p>
    <w:p>
      <w:pPr>
        <w:pStyle w:val="ListBullet"/>
        <w:ind w:left="360" w:hanging="360"/>
      </w:pPr>
      <w:r>
        <w:rPr>
          <w:rFonts w:ascii="Calibri" w:hAnsi="Calibri"/>
          <w:b/>
          <w:color w:val="525866"/>
          <w:sz w:val="22"/>
        </w:rPr>
        <w:t xml:space="preserve">June 11, 2026 — Piper Sandler Initiated Coverage (Neutral, PT $510): </w:t>
      </w:r>
      <w:r>
        <w:rPr>
          <w:rFonts w:ascii="Calibri" w:hAnsi="Calibri"/>
          <w:color w:val="525866"/>
          <w:sz w:val="22"/>
        </w:rPr>
        <w:t xml:space="preserve">Piper Sandler initiated coverage with a Neutral rating and $510 price target, reflecting a cautious view on near-term organic growth recovery. </w:t>
      </w:r>
      <w:r>
        <w:rPr>
          <w:rFonts w:ascii="Calibri" w:hAnsi="Calibri"/>
          <w:b/>
          <w:color w:val="525866"/>
          <w:sz w:val="22"/>
        </w:rPr>
        <w:t>Implication: New coverage at Neutral adds to the cautious analyst camp; a strong Q2 print could shift this view.</w:t>
      </w:r>
    </w:p>
    <w:p>
      <w:pPr>
        <w:pStyle w:val="ListBullet"/>
        <w:ind w:left="360" w:hanging="360"/>
      </w:pPr>
      <w:r>
        <w:rPr>
          <w:rFonts w:ascii="Calibri" w:hAnsi="Calibri"/>
          <w:b/>
          <w:color w:val="525866"/>
          <w:sz w:val="22"/>
        </w:rPr>
        <w:t xml:space="preserve">June 26, 2026 — Bernstein Initiated Coverage (Market Perform, PT $520): </w:t>
      </w:r>
      <w:r>
        <w:rPr>
          <w:rFonts w:ascii="Calibri" w:hAnsi="Calibri"/>
          <w:color w:val="525866"/>
          <w:sz w:val="22"/>
        </w:rPr>
        <w:t xml:space="preserve">Sanford C. Bernstein initiated coverage with a Market Perform rating and $520 price target. </w:t>
      </w:r>
      <w:r>
        <w:rPr>
          <w:rFonts w:ascii="Calibri" w:hAnsi="Calibri"/>
          <w:b/>
          <w:color w:val="525866"/>
          <w:sz w:val="22"/>
        </w:rPr>
        <w:t>Implication: Another cautious initiation; consensus remains Moderate Buy but with a growing neutral camp.</w:t>
      </w:r>
    </w:p>
    <w:p>
      <w:pPr>
        <w:pStyle w:val="ListBullet"/>
        <w:ind w:left="360" w:hanging="360"/>
      </w:pPr>
      <w:r>
        <w:rPr>
          <w:rFonts w:ascii="Calibri" w:hAnsi="Calibri"/>
          <w:b/>
          <w:color w:val="525866"/>
          <w:sz w:val="22"/>
        </w:rPr>
        <w:t xml:space="preserve">June 2, 2026 — Wolfe Research Initiated Coverage (Outperform, PT $535): </w:t>
      </w:r>
      <w:r>
        <w:rPr>
          <w:rFonts w:ascii="Calibri" w:hAnsi="Calibri"/>
          <w:color w:val="525866"/>
          <w:sz w:val="22"/>
        </w:rPr>
        <w:t xml:space="preserve">Wolfe Research initiated coverage with an Outperform rating and $535 price target, providing a bullish counterpoint to the cautious initiations. </w:t>
      </w:r>
      <w:r>
        <w:rPr>
          <w:rFonts w:ascii="Calibri" w:hAnsi="Calibri"/>
          <w:b/>
          <w:color w:val="525866"/>
          <w:sz w:val="22"/>
        </w:rPr>
        <w:t>Implication: Positive new coverage adds to the bull camp.</w:t>
      </w:r>
    </w:p>
    <w:p>
      <w:pPr>
        <w:pStyle w:val="ListBullet"/>
        <w:ind w:left="360" w:hanging="360"/>
      </w:pPr>
      <w:r>
        <w:rPr>
          <w:rFonts w:ascii="Calibri" w:hAnsi="Calibri"/>
          <w:b/>
          <w:color w:val="525866"/>
          <w:sz w:val="22"/>
        </w:rPr>
        <w:t xml:space="preserve">July 21, 2026 — Danaher Q2 2026 Earnings (Key Peer Read-Through): </w:t>
      </w:r>
      <w:r>
        <w:rPr>
          <w:rFonts w:ascii="Calibri" w:hAnsi="Calibri"/>
          <w:color w:val="525866"/>
          <w:sz w:val="22"/>
        </w:rPr>
        <w:t xml:space="preserve">DHR reported Q2 2026 results the day before TMO’s earnings, with life sciences delivering its strongest quarter in several years (+5.5% core growth) but bioprocessing growing only low single digits due to ~$50–60M of chromatography resin push-outs. </w:t>
      </w:r>
      <w:r>
        <w:rPr>
          <w:rFonts w:ascii="Calibri" w:hAnsi="Calibri"/>
          <w:b/>
          <w:color w:val="525866"/>
          <w:sz w:val="22"/>
        </w:rPr>
        <w:t>Implication: The bioprocessing push-out is the most important pre-earnings data point for TMO; see Peer Commentaries section for full detail.</w:t>
      </w:r>
    </w:p>
    <w:p>
      <w:pPr>
        <w:pStyle w:val="ListBullet"/>
        <w:ind w:left="360" w:hanging="360"/>
      </w:pPr>
      <w:r>
        <w:rPr>
          <w:rFonts w:ascii="Calibri" w:hAnsi="Calibri"/>
          <w:b/>
          <w:color w:val="525866"/>
          <w:sz w:val="22"/>
        </w:rPr>
        <w:t xml:space="preserve">Ongoing — U.S. Pharma Reshoring Commitments (~$0.5 Trillion): </w:t>
      </w:r>
      <w:r>
        <w:rPr>
          <w:rFonts w:ascii="Calibri" w:hAnsi="Calibri"/>
          <w:color w:val="525866"/>
          <w:sz w:val="22"/>
        </w:rPr>
        <w:t xml:space="preserve">Multiple large pharma companies have announced U.S. manufacturing investment commitments, creating a multi-year tailwind for TMO’s CDMO, bioproduction, and laboratory products businesses. Management expects reshoring revenue to be largely a 2027–2028 activity. </w:t>
      </w:r>
      <w:r>
        <w:rPr>
          <w:rFonts w:ascii="Calibri" w:hAnsi="Calibri"/>
          <w:b/>
          <w:color w:val="525866"/>
          <w:sz w:val="22"/>
        </w:rPr>
        <w:t>Implication: Not a Q2 driver but a key long-term narrative that management will likely reinforce on the call.</w:t>
      </w:r>
    </w:p>
    <w:p>
      <w:pPr>
        <w:pStyle w:val="ListBullet"/>
        <w:ind w:left="360" w:hanging="360"/>
      </w:pPr>
      <w:r>
        <w:rPr>
          <w:rFonts w:ascii="Calibri" w:hAnsi="Calibri"/>
          <w:b/>
          <w:color w:val="525866"/>
          <w:sz w:val="22"/>
        </w:rPr>
        <w:t xml:space="preserve">Ongoing — NIH/Academic Funding Uncertainty: </w:t>
      </w:r>
      <w:r>
        <w:rPr>
          <w:rFonts w:ascii="Calibri" w:hAnsi="Calibri"/>
          <w:color w:val="525866"/>
          <w:sz w:val="22"/>
        </w:rPr>
        <w:t xml:space="preserve">U.S. academic and government funding remains muted, with the passage of the federal budget in late January providing some relief but funding flows still below normal. TMO’s analytical instruments segment is most exposed. </w:t>
      </w:r>
      <w:r>
        <w:rPr>
          <w:rFonts w:ascii="Calibri" w:hAnsi="Calibri"/>
          <w:b/>
          <w:color w:val="525866"/>
          <w:sz w:val="22"/>
        </w:rPr>
        <w:t>Implication: Any improvement in academic/government commentary would be a positive surprise; deterioration would be a headwind.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since Q1 earnings. The only executive transaction was a 10b5-1 planned sale by President &amp; COO Gianluca Pettiti (400 shares, ~$187K, April 27) — obligation-driven and not a signal. Director share grants in May and June are routine compensation awards. Nothing notable from an insider signaling perspective.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Gianluca Pettiti</w:t>
            </w:r>
          </w:p>
        </w:tc>
        <w:tc>
          <w:tcPr>
            <w:tcW w:type="dxa" w:w="1440"/>
          </w:tcPr>
          <w:p>
            <w:r>
              <w:rPr>
                <w:rFonts w:ascii="Calibri" w:hAnsi="Calibri"/>
                <w:sz w:val="22"/>
              </w:rPr>
              <w:t>President &amp; COO</w:t>
            </w:r>
          </w:p>
        </w:tc>
        <w:tc>
          <w:tcPr>
            <w:tcW w:type="dxa" w:w="1440"/>
          </w:tcPr>
          <w:p>
            <w:r>
              <w:rPr>
                <w:rFonts w:ascii="Calibri" w:hAnsi="Calibri"/>
                <w:sz w:val="22"/>
              </w:rPr>
              <w:t>10b5-1 Planned Sale</w:t>
            </w:r>
          </w:p>
        </w:tc>
        <w:tc>
          <w:tcPr>
            <w:tcW w:type="dxa" w:w="1440"/>
          </w:tcPr>
          <w:p>
            <w:r>
              <w:rPr>
                <w:rFonts w:ascii="Calibri" w:hAnsi="Calibri"/>
                <w:sz w:val="22"/>
              </w:rPr>
              <w:t>400 shares (~$187K est.)</w:t>
            </w:r>
          </w:p>
        </w:tc>
        <w:tc>
          <w:tcPr>
            <w:tcW w:type="dxa" w:w="1440"/>
          </w:tcPr>
          <w:p>
            <w:r>
              <w:rPr>
                <w:rFonts w:ascii="Calibri" w:hAnsi="Calibri"/>
                <w:sz w:val="22"/>
              </w:rPr>
              <w:t>April 27, 2026</w:t>
            </w:r>
          </w:p>
        </w:tc>
        <w:tc>
          <w:tcPr>
            <w:tcW w:type="dxa" w:w="1440"/>
          </w:tcPr>
          <w:p>
            <w:r>
              <w:rPr>
                <w:rFonts w:ascii="Calibri" w:hAnsi="Calibri"/>
                <w:sz w:val="22"/>
              </w:rPr>
              <w:t>Pre-scheduled 10b5-1 plan; obligation-driven, not discretionary. Not a signal.</w:t>
            </w:r>
          </w:p>
        </w:tc>
      </w:tr>
      <w:tr>
        <w:tc>
          <w:tcPr>
            <w:tcW w:type="dxa" w:w="1440"/>
          </w:tcPr>
          <w:p>
            <w:r>
              <w:rPr>
                <w:rFonts w:ascii="Calibri" w:hAnsi="Calibri"/>
                <w:sz w:val="22"/>
              </w:rPr>
              <w:t>Multiple Directors (9 individuals)</w:t>
            </w:r>
          </w:p>
        </w:tc>
        <w:tc>
          <w:tcPr>
            <w:tcW w:type="dxa" w:w="1440"/>
          </w:tcPr>
          <w:p>
            <w:r>
              <w:rPr>
                <w:rFonts w:ascii="Calibri" w:hAnsi="Calibri"/>
                <w:sz w:val="22"/>
              </w:rPr>
              <w:t>Board of Directors</w:t>
            </w:r>
          </w:p>
        </w:tc>
        <w:tc>
          <w:tcPr>
            <w:tcW w:type="dxa" w:w="1440"/>
          </w:tcPr>
          <w:p>
            <w:r>
              <w:rPr>
                <w:rFonts w:ascii="Calibri" w:hAnsi="Calibri"/>
                <w:sz w:val="22"/>
              </w:rPr>
              <w:t>Award (Compensation Grant)</w:t>
            </w:r>
          </w:p>
        </w:tc>
        <w:tc>
          <w:tcPr>
            <w:tcW w:type="dxa" w:w="1440"/>
          </w:tcPr>
          <w:p>
            <w:r>
              <w:rPr>
                <w:rFonts w:ascii="Calibri" w:hAnsi="Calibri"/>
                <w:sz w:val="22"/>
              </w:rPr>
              <w:t>499 shares each (Common Stock)</w:t>
            </w:r>
          </w:p>
        </w:tc>
        <w:tc>
          <w:tcPr>
            <w:tcW w:type="dxa" w:w="1440"/>
          </w:tcPr>
          <w:p>
            <w:r>
              <w:rPr>
                <w:rFonts w:ascii="Calibri" w:hAnsi="Calibri"/>
                <w:sz w:val="22"/>
              </w:rPr>
              <w:t>May 20, 2026</w:t>
            </w:r>
          </w:p>
        </w:tc>
        <w:tc>
          <w:tcPr>
            <w:tcW w:type="dxa" w:w="1440"/>
          </w:tcPr>
          <w:p>
            <w:r>
              <w:rPr>
                <w:rFonts w:ascii="Calibri" w:hAnsi="Calibri"/>
                <w:sz w:val="22"/>
              </w:rPr>
              <w:t>Routine annual director compensation grant; not open-market purchases. Directors include Chai Nelson, Ruby Chandy, C. Martin Harris, Tyler Jacks, Jennifer Johnson, Alexandra Keith, Karen Lynch, Debora Spar, Scott Sperling, Dion Weisler.</w:t>
            </w:r>
          </w:p>
        </w:tc>
      </w:tr>
      <w:tr>
        <w:tc>
          <w:tcPr>
            <w:tcW w:type="dxa" w:w="1440"/>
          </w:tcPr>
          <w:p>
            <w:r>
              <w:rPr>
                <w:rFonts w:ascii="Calibri" w:hAnsi="Calibri"/>
                <w:sz w:val="22"/>
              </w:rPr>
              <w:t>Multiple Directors (5 individuals)</w:t>
            </w:r>
          </w:p>
        </w:tc>
        <w:tc>
          <w:tcPr>
            <w:tcW w:type="dxa" w:w="1440"/>
          </w:tcPr>
          <w:p>
            <w:r>
              <w:rPr>
                <w:rFonts w:ascii="Calibri" w:hAnsi="Calibri"/>
                <w:sz w:val="22"/>
              </w:rPr>
              <w:t>Board of Directors</w:t>
            </w:r>
          </w:p>
        </w:tc>
        <w:tc>
          <w:tcPr>
            <w:tcW w:type="dxa" w:w="1440"/>
          </w:tcPr>
          <w:p>
            <w:r>
              <w:rPr>
                <w:rFonts w:ascii="Calibri" w:hAnsi="Calibri"/>
                <w:sz w:val="22"/>
              </w:rPr>
              <w:t>Award (Phantom Stock Units)</w:t>
            </w:r>
          </w:p>
        </w:tc>
        <w:tc>
          <w:tcPr>
            <w:tcW w:type="dxa" w:w="1440"/>
          </w:tcPr>
          <w:p>
            <w:r>
              <w:rPr>
                <w:rFonts w:ascii="Calibri" w:hAnsi="Calibri"/>
                <w:sz w:val="22"/>
              </w:rPr>
              <w:t>60.91–82.84 units each</w:t>
            </w:r>
          </w:p>
        </w:tc>
        <w:tc>
          <w:tcPr>
            <w:tcW w:type="dxa" w:w="1440"/>
          </w:tcPr>
          <w:p>
            <w:r>
              <w:rPr>
                <w:rFonts w:ascii="Calibri" w:hAnsi="Calibri"/>
                <w:sz w:val="22"/>
              </w:rPr>
              <w:t>June 27, 2026</w:t>
            </w:r>
          </w:p>
        </w:tc>
        <w:tc>
          <w:tcPr>
            <w:tcW w:type="dxa" w:w="1440"/>
          </w:tcPr>
          <w:p>
            <w:r>
              <w:rPr>
                <w:rFonts w:ascii="Calibri" w:hAnsi="Calibri"/>
                <w:sz w:val="22"/>
              </w:rPr>
              <w:t>Routine phantom stock unit grants (deferred compensation); not open-market purchases. Directors include Jennifer Johnson, Alexandra Keith, Karen Lynch, Scott Sperling, Dion Weisler.</w:t>
            </w:r>
          </w:p>
        </w:tc>
      </w:tr>
    </w:tbl>
    <w:p>
      <w:r>
        <w:rPr>
          <w:rFonts w:ascii="Calibri" w:hAnsi="Calibri"/>
          <w:color w:val="525866"/>
          <w:sz w:val="22"/>
        </w:rPr>
        <w:t>No open-market buys or discretionary sells by executives or directors since Q1 2026 earnings. The sole executive transaction (Pettiti 10b5-1 sale) is pre-scheduled and obligation-driven. The absence of discretionary insider selling ahead of earnings is a mild positive signal, though the lack of open-market buying means insiders are not actively signaling conviction at current prices. Source: SEC Form 4 filings via Insider Transaction Data.</w:t>
      </w:r>
    </w:p>
    <w:p>
      <w:r>
        <w:rPr>
          <w:rFonts w:ascii="Calibri" w:hAnsi="Calibri"/>
          <w:b/>
          <w:i/>
          <w:color w:val="525866"/>
          <w:sz w:val="22"/>
        </w:rPr>
        <w:t>— End of Document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