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TMUS before writing the preview. Let me gather recent earnings, guidance, and news.Let me get the Q1 call commentary, stock price trend, and broader competitive news.Let me pull recent news on the DT merger rumor and competitive/analyst backdrop, plus the prior-year Q2 comparison.Let me quickly check the July 7 leadership changes for context.I have what I need. Here's the earnings preview.</w:t>
      </w:r>
    </w:p>
    <w:p>
      <w:r>
        <w:pict>
          <v:rect style="width:0;height:1.5pt" o:hralign="center" o:hrstd="t" o:hr="t"/>
        </w:pict>
      </w:r>
    </w:p>
    <w:bookmarkStart w:id="22" w:name="Xf82f33e506f1f6da2ce4d189d4f7c6e1d06d2e2"/>
    <w:p>
      <w:pPr>
        <w:pStyle w:val="Heading1"/>
      </w:pPr>
      <w:r>
        <w:t xml:space="preserve">T-Mobile US (TMUS) — Q2 2026 Earnings Preview</w:t>
      </w:r>
    </w:p>
    <w:p>
      <w:pPr>
        <w:pStyle w:val="FirstParagraph"/>
      </w:pPr>
      <w:r>
        <w:rPr>
          <w:b/>
          <w:bCs/>
        </w:rPr>
        <w:t xml:space="preserve">Report date:</w:t>
      </w:r>
      <w:r>
        <w:t xml:space="preserve"> </w:t>
      </w:r>
      <w:r>
        <w:t xml:space="preserve">Thursday, July 23, 2026 (before the open) ·</w:t>
      </w:r>
      <w:r>
        <w:t xml:space="preserve"> </w:t>
      </w:r>
      <w:r>
        <w:rPr>
          <w:b/>
          <w:bCs/>
        </w:rPr>
        <w:t xml:space="preserve">Call:</w:t>
      </w:r>
      <w:r>
        <w:t xml:space="preserve"> </w:t>
      </w:r>
      <w:r>
        <w:t xml:space="preserve">2026Q2 Earnings Call</w:t>
      </w:r>
    </w:p>
    <w:p>
      <w:r>
        <w:pict>
          <v:rect style="width:0;height:1.5pt" o:hralign="center" o:hrstd="t" o:hr="t"/>
        </w:pict>
      </w:r>
    </w:p>
    <w:bookmarkStart w:id="9" w:name="the-one-line-setup"/>
    <w:p>
      <w:pPr>
        <w:pStyle w:val="Heading2"/>
      </w:pPr>
      <w:r>
        <w:t xml:space="preserve">The one-line setup</w:t>
      </w:r>
    </w:p>
    <w:p>
      <w:pPr>
        <w:pStyle w:val="FirstParagraph"/>
      </w:pPr>
      <w:r>
        <w:t xml:space="preserve">T-Mobile heads into Q2 as the consensus "best house on a shaky block." Fundamentals remain the strongest in wireless, but the stock has been whipsawed by an existential-sounding narrative — SpaceX/Starlink potentially entering consumer mobile — plus a Deutsche Telekom take-private rumor and a leadership reshuffle. The print itself is likely to be solid; the story will be about whether management can steady sentiment.</w:t>
      </w:r>
    </w:p>
    <w:p>
      <w:r>
        <w:pict>
          <v:rect style="width:0;height:1.5pt" o:hralign="center" o:hrstd="t" o:hr="t"/>
        </w:pict>
      </w:r>
    </w:p>
    <w:bookmarkEnd w:id="9"/>
    <w:bookmarkStart w:id="10" w:name="X4158004cda276f389ee45d8a052c6a7a42f943f"/>
    <w:p>
      <w:pPr>
        <w:pStyle w:val="Heading2"/>
      </w:pPr>
      <w:r>
        <w:t xml:space="preserve">What the Street expects (Q2 2026 consensus)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Consensus</w:t>
            </w:r>
          </w:p>
        </w:tc>
        <w:tc>
          <w:tcPr/>
          <w:p>
            <w:pPr>
              <w:pStyle w:val="Compact"/>
            </w:pPr>
            <w:r>
              <w:t xml:space="preserve">Context</w:t>
            </w:r>
          </w:p>
        </w:tc>
      </w:tr>
      <w:tr>
        <w:tc>
          <w:tcPr/>
          <w:p>
            <w:pPr>
              <w:pStyle w:val="Compact"/>
            </w:pPr>
            <w:r>
              <w:t xml:space="preserve">EPS</w:t>
            </w:r>
          </w:p>
        </w:tc>
        <w:tc>
          <w:tcPr/>
          <w:p>
            <w:pPr>
              <w:pStyle w:val="Compact"/>
            </w:pPr>
            <w:r>
              <w:rPr>
                <w:b/>
                <w:bCs/>
              </w:rPr>
              <w:t xml:space="preserve">~$2.56</w:t>
            </w:r>
          </w:p>
        </w:tc>
        <w:tc>
          <w:tcPr/>
          <w:p>
            <w:pPr>
              <w:pStyle w:val="Compact"/>
            </w:pPr>
            <w:r>
              <w:t xml:space="preserve">Below the ~$2.80 GAAP level of Q2'25 — dragged by UScellular merger costs/accelerated depreciation</w:t>
            </w:r>
          </w:p>
        </w:tc>
      </w:tr>
      <w:tr>
        <w:tc>
          <w:tcPr/>
          <w:p>
            <w:pPr>
              <w:pStyle w:val="Compact"/>
            </w:pPr>
            <w:r>
              <w:t xml:space="preserve">Core Adj. EBITDA</w:t>
            </w:r>
          </w:p>
        </w:tc>
        <w:tc>
          <w:tcPr/>
          <w:p>
            <w:pPr>
              <w:pStyle w:val="Compact"/>
            </w:pPr>
            <w:r>
              <w:rPr>
                <w:b/>
                <w:bCs/>
              </w:rPr>
              <w:t xml:space="preserve">~$9.43B, +10.4% YoY</w:t>
            </w:r>
          </w:p>
        </w:tc>
        <w:tc>
          <w:tcPr/>
          <w:p>
            <w:pPr>
              <w:pStyle w:val="Compact"/>
            </w:pPr>
            <w:r>
              <w:t xml:space="preserve">In line with company's own "~$9.4B, ~+10%" Q2 guide</w:t>
            </w:r>
          </w:p>
        </w:tc>
      </w:tr>
      <w:tr>
        <w:tc>
          <w:tcPr/>
          <w:p>
            <w:pPr>
              <w:pStyle w:val="Compact"/>
            </w:pPr>
            <w:r>
              <w:t xml:space="preserve">Revenue</w:t>
            </w:r>
          </w:p>
        </w:tc>
        <w:tc>
          <w:tcPr/>
          <w:p>
            <w:pPr>
              <w:pStyle w:val="Compact"/>
            </w:pPr>
            <w:r>
              <w:rPr>
                <w:b/>
                <w:bCs/>
              </w:rPr>
              <w:t xml:space="preserve">~$22.98B, +8.7% YoY</w:t>
            </w:r>
          </w:p>
        </w:tc>
        <w:tc>
          <w:tcPr/>
          <w:p>
            <w:pPr>
              <w:pStyle w:val="Compact"/>
            </w:pPr>
            <w:r>
              <w:t xml:space="preserve">Company guided service revenue "~$19B, +9%"</w:t>
            </w:r>
          </w:p>
        </w:tc>
      </w:tr>
      <w:tr>
        <w:tc>
          <w:tcPr/>
          <w:p>
            <w:pPr>
              <w:pStyle w:val="Compact"/>
            </w:pPr>
            <w:r>
              <w:t xml:space="preserve">Adj. Free Cash Flow</w:t>
            </w:r>
          </w:p>
        </w:tc>
        <w:tc>
          <w:tcPr/>
          <w:p>
            <w:pPr>
              <w:pStyle w:val="Compact"/>
            </w:pPr>
            <w:r>
              <w:rPr>
                <w:b/>
                <w:bCs/>
              </w:rPr>
              <w:t xml:space="preserve">~$4.55B</w:t>
            </w:r>
          </w:p>
        </w:tc>
        <w:tc>
          <w:tcPr/>
          <w:p>
            <w:pPr>
              <w:pStyle w:val="Compact"/>
            </w:pPr>
            <w:r>
              <w:t xml:space="preserve">vs. $4.60B in Q2'25</w:t>
            </w:r>
          </w:p>
        </w:tc>
      </w:tr>
      <w:tr>
        <w:tc>
          <w:tcPr/>
          <w:p>
            <w:pPr>
              <w:pStyle w:val="Compact"/>
            </w:pPr>
            <w:r>
              <w:t xml:space="preserve">Postpaid net account adds</w:t>
            </w:r>
          </w:p>
        </w:tc>
        <w:tc>
          <w:tcPr/>
          <w:p>
            <w:pPr>
              <w:pStyle w:val="Compact"/>
            </w:pPr>
            <w:r>
              <w:rPr>
                <w:b/>
                <w:bCs/>
              </w:rPr>
              <w:t xml:space="preserve">~262K</w:t>
            </w:r>
          </w:p>
        </w:tc>
        <w:tc>
          <w:tcPr/>
          <w:p>
            <w:pPr>
              <w:pStyle w:val="Compact"/>
            </w:pPr>
            <w:r>
              <w:t xml:space="preserve">vs. 217K in Q1'26</w:t>
            </w:r>
          </w:p>
        </w:tc>
      </w:tr>
    </w:tbl>
    <w:p>
      <w:pPr>
        <w:pStyle w:val="BodyText"/>
      </w:pPr>
      <w:r>
        <w:t xml:space="preserve">Sentiment among the "Big 3" is</w:t>
      </w:r>
      <w:r>
        <w:t xml:space="preserve"> </w:t>
      </w:r>
      <w:r>
        <w:rPr>
          <w:b/>
          <w:bCs/>
        </w:rPr>
        <w:t xml:space="preserve">most positive on TMUS</w:t>
      </w:r>
      <w:r>
        <w:t xml:space="preserve"> </w:t>
      </w:r>
      <w:r>
        <w:t xml:space="preserve">versus AT&amp;T and Verizon, but the whole group is dogged by fears of intensifying competition from both incumbents and satellite entrants.</w:t>
      </w:r>
    </w:p>
    <w:p>
      <w:pPr>
        <w:pStyle w:val="BodyText"/>
      </w:pPr>
      <w:r>
        <w:rPr>
          <w:b/>
          <w:bCs/>
        </w:rPr>
        <w:t xml:space="preserve">Key GAAP nuance:</w:t>
      </w:r>
      <w:r>
        <w:t xml:space="preserve"> </w:t>
      </w:r>
      <w:r>
        <w:t xml:space="preserve">Don't be alarmed by a YoY EPS/net-income</w:t>
      </w:r>
      <w:r>
        <w:t xml:space="preserve"> </w:t>
      </w:r>
      <w:r>
        <w:rPr>
          <w:i/>
          <w:iCs/>
        </w:rPr>
        <w:t xml:space="preserve">decline</w:t>
      </w:r>
      <w:r>
        <w:t xml:space="preserve">. In Q1, net income fell 15% purely because of ~</w:t>
      </w:r>
      <m:oMath>
        <m:r>
          <m:t>476</m:t>
        </m:r>
        <m:r>
          <m:t>M</m:t>
        </m:r>
        <m:r>
          <m:rPr>
            <m:sty m:val="p"/>
          </m:rPr>
          <m:t>(</m:t>
        </m:r>
      </m:oMath>
      <w:r>
        <w:t xml:space="preserve">0.43/sh) of UScellular merger-related costs and accelerated depreciation. Core EBITDA and free cash flow — the metrics management steers on — kept growing double digits. Expect the same optics in Q2.</w:t>
      </w:r>
    </w:p>
    <w:p>
      <w:r>
        <w:pict>
          <v:rect style="width:0;height:1.5pt" o:hralign="center" o:hrstd="t" o:hr="t"/>
        </w:pict>
      </w:r>
    </w:p>
    <w:bookmarkEnd w:id="10"/>
    <w:bookmarkStart w:id="11" w:name="where-the-stock-is-coming-from"/>
    <w:p>
      <w:pPr>
        <w:pStyle w:val="Heading2"/>
      </w:pPr>
      <w:r>
        <w:t xml:space="preserve">Where the stock is coming from</w:t>
      </w:r>
    </w:p>
    <w:p>
      <w:pPr>
        <w:pStyle w:val="Compact"/>
        <w:numPr>
          <w:ilvl w:val="0"/>
          <w:numId w:val="1001"/>
        </w:numPr>
      </w:pPr>
      <w:r>
        <w:t xml:space="preserve">TMUS is roughly</w:t>
      </w:r>
      <w:r>
        <w:t xml:space="preserve"> </w:t>
      </w:r>
      <w:r>
        <w:rPr>
          <w:b/>
          <w:bCs/>
        </w:rPr>
        <w:t xml:space="preserve">-4% YTD</w:t>
      </w:r>
      <w:r>
        <w:t xml:space="preserve"> </w:t>
      </w:r>
      <w:r>
        <w:t xml:space="preserve">(≈$199.58 on Jan 2 → $190.97 on Jul 22) and has badly lagged, given how strong the operations are.</w:t>
      </w:r>
    </w:p>
    <w:p>
      <w:pPr>
        <w:pStyle w:val="Compact"/>
        <w:numPr>
          <w:ilvl w:val="0"/>
          <w:numId w:val="1001"/>
        </w:numPr>
      </w:pPr>
      <w:r>
        <w:t xml:space="preserve">It ran to a</w:t>
      </w:r>
      <w:r>
        <w:t xml:space="preserve"> </w:t>
      </w:r>
      <w:r>
        <w:rPr>
          <w:b/>
          <w:bCs/>
        </w:rPr>
        <w:t xml:space="preserve">~</w:t>
      </w:r>
      <m:oMath>
        <m:r>
          <m:t>222</m:t>
        </m:r>
        <m:r>
          <m:t>h</m:t>
        </m:r>
        <m:r>
          <m:t>i</m:t>
        </m:r>
        <m:r>
          <m:t>g</m:t>
        </m:r>
        <m:r>
          <m:t>h</m:t>
        </m:r>
        <m:r>
          <m:t>i</m:t>
        </m:r>
        <m:r>
          <m:t>n</m:t>
        </m:r>
        <m:r>
          <m:t>l</m:t>
        </m:r>
        <m:r>
          <m:t>a</m:t>
        </m:r>
        <m:r>
          <m:t>t</m:t>
        </m:r>
        <m:r>
          <m:t>e</m:t>
        </m:r>
        <m:r>
          <m:t>F</m:t>
        </m:r>
        <m:r>
          <m:t>e</m:t>
        </m:r>
        <m:r>
          <m:t>b</m:t>
        </m:r>
        <m:r>
          <m:rPr>
            <m:sty m:val="p"/>
          </m:rPr>
          <m:t>*</m:t>
        </m:r>
        <m:r>
          <m:rPr>
            <m:sty m:val="p"/>
          </m:rPr>
          <m:t>*</m:t>
        </m:r>
        <m:r>
          <m:rPr>
            <m:sty m:val="p"/>
          </m:rPr>
          <m:t>(</m:t>
        </m:r>
        <m:r>
          <m:t>p</m:t>
        </m:r>
        <m:r>
          <m:t>o</m:t>
        </m:r>
        <m:r>
          <m:t>s</m:t>
        </m:r>
        <m:r>
          <m:t>t</m:t>
        </m:r>
        <m:r>
          <m:rPr>
            <m:sty m:val="p"/>
          </m:rPr>
          <m:t>−</m:t>
        </m:r>
        <m:r>
          <m:t>C</m:t>
        </m:r>
        <m:r>
          <m:t>a</m:t>
        </m:r>
        <m:r>
          <m:t>p</m:t>
        </m:r>
        <m:r>
          <m:t>i</m:t>
        </m:r>
        <m:r>
          <m:t>t</m:t>
        </m:r>
        <m:r>
          <m:t>a</m:t>
        </m:r>
        <m:r>
          <m:t>l</m:t>
        </m:r>
        <m:r>
          <m:t>M</m:t>
        </m:r>
        <m:r>
          <m:t>a</m:t>
        </m:r>
        <m:r>
          <m:t>r</m:t>
        </m:r>
        <m:r>
          <m:t>k</m:t>
        </m:r>
        <m:r>
          <m:t>e</m:t>
        </m:r>
        <m:r>
          <m:t>t</m:t>
        </m:r>
        <m:r>
          <m:t>s</m:t>
        </m:r>
        <m:r>
          <m:t>D</m:t>
        </m:r>
        <m:r>
          <m:t>a</m:t>
        </m:r>
        <m:r>
          <m:t>y</m:t>
        </m:r>
        <m:r>
          <m:rPr>
            <m:sty m:val="p"/>
          </m:rPr>
          <m:t>)</m:t>
        </m:r>
        <m:r>
          <m:rPr>
            <m:sty m:val="p"/>
          </m:rPr>
          <m:t>,</m:t>
        </m:r>
        <m:r>
          <m:t>t</m:t>
        </m:r>
        <m:r>
          <m:t>h</m:t>
        </m:r>
        <m:r>
          <m:t>e</m:t>
        </m:r>
        <m:r>
          <m:t>n</m:t>
        </m:r>
        <m:r>
          <m:t>b</m:t>
        </m:r>
        <m:r>
          <m:t>l</m:t>
        </m:r>
        <m:r>
          <m:t>e</m:t>
        </m:r>
        <m:r>
          <m:t>d</m:t>
        </m:r>
        <m:r>
          <m:t>l</m:t>
        </m:r>
        <m:r>
          <m:t>o</m:t>
        </m:r>
        <m:r>
          <m:t>w</m:t>
        </m:r>
        <m:r>
          <m:t>e</m:t>
        </m:r>
        <m:r>
          <m:t>r</m:t>
        </m:r>
        <m:r>
          <m:rPr>
            <m:sty m:val="p"/>
          </m:rPr>
          <m:t>,</m:t>
        </m:r>
        <m:r>
          <m:t>c</m:t>
        </m:r>
        <m:r>
          <m:t>u</m:t>
        </m:r>
        <m:r>
          <m:t>l</m:t>
        </m:r>
        <m:r>
          <m:t>m</m:t>
        </m:r>
        <m:r>
          <m:t>i</m:t>
        </m:r>
        <m:r>
          <m:t>n</m:t>
        </m:r>
        <m:r>
          <m:t>a</m:t>
        </m:r>
        <m:r>
          <m:t>t</m:t>
        </m:r>
        <m:r>
          <m:t>i</m:t>
        </m:r>
        <m:r>
          <m:t>n</m:t>
        </m:r>
        <m:r>
          <m:t>g</m:t>
        </m:r>
        <m:r>
          <m:t>i</m:t>
        </m:r>
        <m:r>
          <m:t>n</m:t>
        </m:r>
        <m:r>
          <m:t>a</m:t>
        </m:r>
        <m:r>
          <m:t>v</m:t>
        </m:r>
        <m:r>
          <m:t>i</m:t>
        </m:r>
        <m:r>
          <m:t>o</m:t>
        </m:r>
        <m:r>
          <m:t>l</m:t>
        </m:r>
        <m:r>
          <m:t>e</m:t>
        </m:r>
        <m:r>
          <m:t>n</m:t>
        </m:r>
        <m:r>
          <m:t>t</m:t>
        </m:r>
        <m:r>
          <m:t>d</m:t>
        </m:r>
        <m:r>
          <m:t>r</m:t>
        </m:r>
        <m:r>
          <m:t>o</m:t>
        </m:r>
        <m:r>
          <m:t>p</m:t>
        </m:r>
        <m:r>
          <m:t>t</m:t>
        </m:r>
        <m:r>
          <m:t>o</m:t>
        </m:r>
        <m:r>
          <m:t>a</m:t>
        </m:r>
        <m:r>
          <m:rPr>
            <m:sty m:val="p"/>
          </m:rPr>
          <m:t>*</m:t>
        </m:r>
        <m:r>
          <m:rPr>
            <m:sty m:val="p"/>
          </m:rPr>
          <m:t>*</m:t>
        </m:r>
        <m:r>
          <m:t> </m:t>
        </m:r>
      </m:oMath>
      <w:r>
        <w:rPr>
          <w:b/>
          <w:bCs/>
        </w:rPr>
        <w:t xml:space="preserve">168 trough on June 30</w:t>
      </w:r>
      <w:r>
        <w:t xml:space="preserve"> </w:t>
      </w:r>
      <w:r>
        <w:t xml:space="preserve">on the SpaceX/Charter headlines — before recovering ~14% into the print.</w:t>
      </w:r>
    </w:p>
    <w:p>
      <w:pPr>
        <w:pStyle w:val="Compact"/>
        <w:numPr>
          <w:ilvl w:val="0"/>
          <w:numId w:val="1001"/>
        </w:numPr>
      </w:pPr>
      <w:r>
        <w:t xml:space="preserve">Verizon (~</w:t>
      </w:r>
      <w:r>
        <w:t xml:space="preserve">$44) and AT&amp;T (~$</w:t>
      </w:r>
      <w:r>
        <w:t xml:space="preserve">23) show the same late-June satellite-scare drawdown, so this was a sector event, not a TMUS-specific one.</w:t>
      </w:r>
    </w:p>
    <w:p>
      <w:pPr>
        <w:pStyle w:val="Compact"/>
        <w:numPr>
          <w:ilvl w:val="0"/>
          <w:numId w:val="1001"/>
        </w:numPr>
      </w:pPr>
      <w:r>
        <w:t xml:space="preserve">Valuation is now a debate point: TMUS trades around</w:t>
      </w:r>
      <w:r>
        <w:t xml:space="preserve"> </w:t>
      </w:r>
      <w:r>
        <w:rPr>
          <w:b/>
          <w:bCs/>
        </w:rPr>
        <w:t xml:space="preserve">14x 2026 earnings</w:t>
      </w:r>
      <w:r>
        <w:t xml:space="preserve">, barely above its five-year low of ~13x and well below its ~20x five-year average — i.e., a lot of the growth premium has been compressed out.</w:t>
      </w:r>
    </w:p>
    <w:p>
      <w:r>
        <w:pict>
          <v:rect style="width:0;height:1.5pt" o:hralign="center" o:hrstd="t" o:hr="t"/>
        </w:pict>
      </w:r>
    </w:p>
    <w:bookmarkEnd w:id="11"/>
    <w:bookmarkStart w:id="18" w:name="the-big-overhangs-to-watch-on-the-call"/>
    <w:p>
      <w:pPr>
        <w:pStyle w:val="Heading2"/>
      </w:pPr>
      <w:r>
        <w:t xml:space="preserve">The big overhangs to watch on the call</w:t>
      </w:r>
    </w:p>
    <w:bookmarkStart w:id="12" w:name="Xb514c8fd01b9d4a9c46f19aafee08e948bff290"/>
    <w:p>
      <w:pPr>
        <w:pStyle w:val="Heading3"/>
      </w:pPr>
      <w:r>
        <w:t xml:space="preserve">1. The SpaceX / Starlink threat (the dominant debate)</w:t>
      </w:r>
    </w:p>
    <w:p>
      <w:pPr>
        <w:pStyle w:val="FirstParagraph"/>
      </w:pPr>
      <w:r>
        <w:t xml:space="preserve">This is what investors most want addressed. Late June reports that</w:t>
      </w:r>
      <w:r>
        <w:t xml:space="preserve"> </w:t>
      </w:r>
      <w:r>
        <w:rPr>
          <w:b/>
          <w:bCs/>
        </w:rPr>
        <w:t xml:space="preserve">Charter held talks with SpaceX</w:t>
      </w:r>
      <w:r>
        <w:t xml:space="preserve"> </w:t>
      </w:r>
      <w:r>
        <w:t xml:space="preserve">about a consumer phone, plus SpaceX signaling a</w:t>
      </w:r>
      <w:r>
        <w:t xml:space="preserve"> </w:t>
      </w:r>
      <w:r>
        <w:rPr>
          <w:b/>
          <w:bCs/>
        </w:rPr>
        <w:t xml:space="preserve">Starlink consumer mobile service</w:t>
      </w:r>
      <w:r>
        <w:t xml:space="preserve">, erased ~$11B of TMUS market cap in a week. Two distinct issues are getting conflated, and management's framing matters:</w:t>
      </w:r>
    </w:p>
    <w:p>
      <w:pPr>
        <w:pStyle w:val="Compact"/>
        <w:numPr>
          <w:ilvl w:val="0"/>
          <w:numId w:val="1002"/>
        </w:numPr>
      </w:pPr>
      <w:r>
        <w:rPr>
          <w:b/>
          <w:bCs/>
        </w:rPr>
        <w:t xml:space="preserve">Broadband:</w:t>
      </w:r>
      <w:r>
        <w:t xml:space="preserve"> </w:t>
      </w:r>
      <w:r>
        <w:t xml:space="preserve">TMUS views Starlink fixed internet as a</w:t>
      </w:r>
      <w:r>
        <w:t xml:space="preserve"> </w:t>
      </w:r>
      <w:r>
        <w:rPr>
          <w:i/>
          <w:iCs/>
        </w:rPr>
        <w:t xml:space="preserve">substitute</w:t>
      </w:r>
      <w:r>
        <w:t xml:space="preserve">, but mostly in rural/underserved areas — where TMUS is comparatively less exposed given its urban strength.</w:t>
      </w:r>
    </w:p>
    <w:p>
      <w:pPr>
        <w:pStyle w:val="Compact"/>
        <w:numPr>
          <w:ilvl w:val="0"/>
          <w:numId w:val="1002"/>
        </w:numPr>
      </w:pPr>
      <w:r>
        <w:rPr>
          <w:b/>
          <w:bCs/>
        </w:rPr>
        <w:t xml:space="preserve">Direct-to-Cell:</w:t>
      </w:r>
      <w:r>
        <w:t xml:space="preserve"> </w:t>
      </w:r>
      <w:r>
        <w:t xml:space="preserve">TMUS partners</w:t>
      </w:r>
      <w:r>
        <w:t xml:space="preserve"> </w:t>
      </w:r>
      <w:r>
        <w:rPr>
          <w:i/>
          <w:iCs/>
        </w:rPr>
        <w:t xml:space="preserve">with</w:t>
      </w:r>
      <w:r>
        <w:t xml:space="preserve"> </w:t>
      </w:r>
      <w:r>
        <w:t xml:space="preserve">SpaceX here and frames DTC as a</w:t>
      </w:r>
      <w:r>
        <w:t xml:space="preserve"> </w:t>
      </w:r>
      <w:r>
        <w:rPr>
          <w:b/>
          <w:bCs/>
        </w:rPr>
        <w:t xml:space="preserve">complementary</w:t>
      </w:r>
      <w:r>
        <w:t xml:space="preserve"> </w:t>
      </w:r>
      <w:r>
        <w:t xml:space="preserve">"kill the dead zones" feature that will commoditize into a table-stakes add-on over time.</w:t>
      </w:r>
    </w:p>
    <w:p>
      <w:pPr>
        <w:pStyle w:val="Compact"/>
        <w:numPr>
          <w:ilvl w:val="0"/>
          <w:numId w:val="1002"/>
        </w:numPr>
      </w:pPr>
      <w:r>
        <w:rPr>
          <w:b/>
          <w:bCs/>
        </w:rPr>
        <w:t xml:space="preserve">The real overhang</w:t>
      </w:r>
      <w:r>
        <w:t xml:space="preserve"> </w:t>
      </w:r>
      <w:r>
        <w:t xml:space="preserve">(per sell-side): uncertainty persists until (a) the</w:t>
      </w:r>
      <w:r>
        <w:t xml:space="preserve"> </w:t>
      </w:r>
      <w:r>
        <w:rPr>
          <w:b/>
          <w:bCs/>
        </w:rPr>
        <w:t xml:space="preserve">TMUS–SpaceX DTC deal is renewed</w:t>
      </w:r>
      <w:r>
        <w:t xml:space="preserve"> </w:t>
      </w:r>
      <w:r>
        <w:t xml:space="preserve">(or SpaceX signs with VZ/AT&amp;T instead), and (b) the</w:t>
      </w:r>
      <w:r>
        <w:t xml:space="preserve"> </w:t>
      </w:r>
      <w:r>
        <w:rPr>
          <w:b/>
          <w:bCs/>
        </w:rPr>
        <w:t xml:space="preserve">2027 Upper C-Band auction</w:t>
      </w:r>
      <w:r>
        <w:t xml:space="preserve"> </w:t>
      </w:r>
      <w:r>
        <w:t xml:space="preserve">clarifies spectrum dynamics. Watch for any commentary that de-risks the partnership.</w:t>
      </w:r>
    </w:p>
    <w:p>
      <w:pPr>
        <w:pStyle w:val="Compact"/>
        <w:numPr>
          <w:ilvl w:val="0"/>
          <w:numId w:val="1002"/>
        </w:numPr>
      </w:pPr>
      <w:r>
        <w:t xml:space="preserve">Note the mixed analyst reaction: Morgan Stanley keeps TMUS as a "top pick" (PT trimmed to $230) arguing the perceived risk exceeds the real risk; BofA calls TMUS "least exposed" (PT $220); but Wells Fargo</w:t>
      </w:r>
      <w:r>
        <w:t xml:space="preserve"> </w:t>
      </w:r>
      <w:r>
        <w:rPr>
          <w:i/>
          <w:iCs/>
        </w:rPr>
        <w:t xml:space="preserve">initiated at Equal Weight, $170</w:t>
      </w:r>
      <w:r>
        <w:t xml:space="preserve">, explicitly citing Starlink.</w:t>
      </w:r>
    </w:p>
    <w:bookmarkEnd w:id="12"/>
    <w:bookmarkStart w:id="13" w:name="X2484b0fa610b2c4a64d934fc20235fcbde49bf9"/>
    <w:p>
      <w:pPr>
        <w:pStyle w:val="Heading3"/>
      </w:pPr>
      <w:r>
        <w:t xml:space="preserve">2. Deutsche Telekom take-private rumor</w:t>
      </w:r>
    </w:p>
    <w:p>
      <w:pPr>
        <w:pStyle w:val="FirstParagraph"/>
      </w:pPr>
      <w:r>
        <w:t xml:space="preserve">On the Q1 call, Craig Moffett asked directly about a reported DT/TMUS merger. Management wouldn't comment on speculation but volunteered a key governance point: any such transaction would require</w:t>
      </w:r>
      <w:r>
        <w:t xml:space="preserve"> </w:t>
      </w:r>
      <w:r>
        <w:rPr>
          <w:b/>
          <w:bCs/>
        </w:rPr>
        <w:t xml:space="preserve">a separate "majority of the minority"</w:t>
      </w:r>
      <w:r>
        <w:t xml:space="preserve"> </w:t>
      </w:r>
      <w:r>
        <w:t xml:space="preserve">(disinterested shareholder) approval. Expect the question again; any nuance on DT's intentions is share-price-relevant.</w:t>
      </w:r>
    </w:p>
    <w:bookmarkEnd w:id="13"/>
    <w:bookmarkStart w:id="14" w:name="X0be9b427449476cf622d3610835f5b90c80ab9e"/>
    <w:p>
      <w:pPr>
        <w:pStyle w:val="Heading3"/>
      </w:pPr>
      <w:r>
        <w:t xml:space="preserve">3. Broadband / Fixed Wireless trajectory</w:t>
      </w:r>
    </w:p>
    <w:p>
      <w:pPr>
        <w:pStyle w:val="FirstParagraph"/>
      </w:pPr>
      <w:r>
        <w:t xml:space="preserve">The growth engine. Q1 delivered</w:t>
      </w:r>
      <w:r>
        <w:t xml:space="preserve"> </w:t>
      </w:r>
      <w:r>
        <w:rPr>
          <w:b/>
          <w:bCs/>
        </w:rPr>
        <w:t xml:space="preserve">&gt;500K total broadband net adds</w:t>
      </w:r>
      <w:r>
        <w:t xml:space="preserve">, and management reaffirmed a</w:t>
      </w:r>
      <w:r>
        <w:t xml:space="preserve"> </w:t>
      </w:r>
      <w:r>
        <w:rPr>
          <w:b/>
          <w:bCs/>
        </w:rPr>
        <w:t xml:space="preserve">15M FWA customer target by 2030</w:t>
      </w:r>
      <w:r>
        <w:t xml:space="preserve"> </w:t>
      </w:r>
      <w:r>
        <w:t xml:space="preserve">(built bottom-up on "fallow" network capacity, assuming no new spectrum or 6G). Also watch the</w:t>
      </w:r>
      <w:r>
        <w:t xml:space="preserve"> </w:t>
      </w:r>
      <w:r>
        <w:rPr>
          <w:b/>
          <w:bCs/>
        </w:rPr>
        <w:t xml:space="preserve">capital-light fiber JV strategy</w:t>
      </w:r>
      <w:r>
        <w:t xml:space="preserve"> </w:t>
      </w:r>
      <w:r>
        <w:t xml:space="preserve">(Lumos, Metronet, plus new JVs to buy GoNetSpeed, Greenlight, i3 — ~$2.7B investment) and the new B2B "Super Broadband" product (5G FWA + Starlink backup). Management has explicitly ruled out a large cable acquisition.</w:t>
      </w:r>
    </w:p>
    <w:bookmarkEnd w:id="14"/>
    <w:bookmarkStart w:id="15" w:name="X1e423f1083c28a0cee51b8f0474f7e69ba431d8"/>
    <w:p>
      <w:pPr>
        <w:pStyle w:val="Heading3"/>
      </w:pPr>
      <w:r>
        <w:t xml:space="preserve">4. ARPA optics — expect a deliberate soft quarter</w:t>
      </w:r>
    </w:p>
    <w:p>
      <w:pPr>
        <w:pStyle w:val="FirstParagraph"/>
      </w:pPr>
      <w:r>
        <w:t xml:space="preserve">Management flagged this in advance:</w:t>
      </w:r>
      <w:r>
        <w:t xml:space="preserve"> </w:t>
      </w:r>
      <w:r>
        <w:rPr>
          <w:b/>
          <w:bCs/>
        </w:rPr>
        <w:t xml:space="preserve">Q2 ARPA growth should decelerate to ~2% YoY</w:t>
      </w:r>
      <w:r>
        <w:t xml:space="preserve"> </w:t>
      </w:r>
      <w:r>
        <w:t xml:space="preserve">(from 3.9% in Q1) because of tough comps (last year's Q2 rate-plan optimizations) plus dilution from UScellular, Metronet and Lumos.</w:t>
      </w:r>
      <w:r>
        <w:t xml:space="preserve"> </w:t>
      </w:r>
      <w:r>
        <w:rPr>
          <w:b/>
          <w:bCs/>
        </w:rPr>
        <w:t xml:space="preserve">This is math, not weakness</w:t>
      </w:r>
      <w:r>
        <w:t xml:space="preserve"> </w:t>
      </w:r>
      <w:r>
        <w:t xml:space="preserve">— they reaffirmed</w:t>
      </w:r>
      <w:r>
        <w:t xml:space="preserve"> </w:t>
      </w:r>
      <w:r>
        <w:rPr>
          <w:b/>
          <w:bCs/>
        </w:rPr>
        <w:t xml:space="preserve">2.5–3% full-year ARPA growth</w:t>
      </w:r>
      <w:r>
        <w:t xml:space="preserve"> </w:t>
      </w:r>
      <w:r>
        <w:t xml:space="preserve">and a second-half reacceleration. Don't let a weak Q2 ARPA headline read as a trend break.</w:t>
      </w:r>
    </w:p>
    <w:bookmarkEnd w:id="15"/>
    <w:bookmarkStart w:id="16" w:name="X09896c66a0eb5c78b15dc43fee3b51278f6bd04"/>
    <w:p>
      <w:pPr>
        <w:pStyle w:val="Heading3"/>
      </w:pPr>
      <w:r>
        <w:t xml:space="preserve">5. UScellular integration</w:t>
      </w:r>
    </w:p>
    <w:p>
      <w:pPr>
        <w:pStyle w:val="FirstParagraph"/>
      </w:pPr>
      <w:r>
        <w:t xml:space="preserve">~4M-customer base; network migration largely done, customer migration to wrap up "substantially" by year-end 2026. Watch postpaid account churn (1.04% in Q1) — management insists UScellular is</w:t>
      </w:r>
      <w:r>
        <w:t xml:space="preserve"> </w:t>
      </w:r>
      <w:r>
        <w:rPr>
          <w:i/>
          <w:iCs/>
        </w:rPr>
        <w:t xml:space="preserve">not</w:t>
      </w:r>
      <w:r>
        <w:t xml:space="preserve"> </w:t>
      </w:r>
      <w:r>
        <w:t xml:space="preserve">a churn contributor and that account churn &gt; line churn is structural math (broadband-only and newer customers churn higher).</w:t>
      </w:r>
    </w:p>
    <w:bookmarkEnd w:id="16"/>
    <w:bookmarkStart w:id="17" w:name="X85cbc5b4dd8931866cab513a29eae69b044a73a"/>
    <w:p>
      <w:pPr>
        <w:pStyle w:val="Heading3"/>
      </w:pPr>
      <w:r>
        <w:t xml:space="preserve">6. Leadership reshuffle (July 7)</w:t>
      </w:r>
    </w:p>
    <w:p>
      <w:pPr>
        <w:pStyle w:val="FirstParagraph"/>
      </w:pPr>
      <w:r>
        <w:t xml:space="preserve">Fresh context: TMUS hired ex-AT&amp;T/Public Storage exec</w:t>
      </w:r>
      <w:r>
        <w:t xml:space="preserve"> </w:t>
      </w:r>
      <w:r>
        <w:rPr>
          <w:b/>
          <w:bCs/>
        </w:rPr>
        <w:t xml:space="preserve">Chris Sambar as Chief Enterprise Officer</w:t>
      </w:r>
      <w:r>
        <w:t xml:space="preserve">, expanded André Almeida to</w:t>
      </w:r>
      <w:r>
        <w:t xml:space="preserve"> </w:t>
      </w:r>
      <w:r>
        <w:rPr>
          <w:b/>
          <w:bCs/>
        </w:rPr>
        <w:t xml:space="preserve">Chief Marketing, Brand &amp; Broadband Officer</w:t>
      </w:r>
      <w:r>
        <w:t xml:space="preserve">, consolidated network/tech/cyber under CTO John Saw — and long-time Un-carrier architect</w:t>
      </w:r>
      <w:r>
        <w:t xml:space="preserve"> </w:t>
      </w:r>
      <w:r>
        <w:rPr>
          <w:b/>
          <w:bCs/>
        </w:rPr>
        <w:t xml:space="preserve">Mike Katz is stepping away</w:t>
      </w:r>
      <w:r>
        <w:t xml:space="preserve"> </w:t>
      </w:r>
      <w:r>
        <w:t xml:space="preserve">(advisory through Dec 2026). Under still-relatively-new CEO Srini Gopalan, expect questions on strategic continuity.</w:t>
      </w:r>
    </w:p>
    <w:p>
      <w:r>
        <w:pict>
          <v:rect style="width:0;height:1.5pt" o:hralign="center" o:hrstd="t" o:hr="t"/>
        </w:pict>
      </w:r>
    </w:p>
    <w:bookmarkEnd w:id="17"/>
    <w:bookmarkEnd w:id="18"/>
    <w:bookmarkStart w:id="19" w:name="guidance-the-number-that-matters"/>
    <w:p>
      <w:pPr>
        <w:pStyle w:val="Heading2"/>
      </w:pPr>
      <w:r>
        <w:t xml:space="preserve">Guidance: the number that matters</w:t>
      </w:r>
    </w:p>
    <w:p>
      <w:pPr>
        <w:pStyle w:val="FirstParagraph"/>
      </w:pPr>
      <w:r>
        <w:t xml:space="preserve">The market will trade on the</w:t>
      </w:r>
      <w:r>
        <w:t xml:space="preserve"> </w:t>
      </w:r>
      <w:r>
        <w:rPr>
          <w:b/>
          <w:bCs/>
        </w:rPr>
        <w:t xml:space="preserve">full-year guide</w:t>
      </w:r>
      <w:r>
        <w:t xml:space="preserve">, not the Q2 print. Entering the quarter, management's raised 2026 framework is:</w:t>
      </w:r>
    </w:p>
    <w:p>
      <w:pPr>
        <w:pStyle w:val="Compact"/>
        <w:numPr>
          <w:ilvl w:val="0"/>
          <w:numId w:val="1003"/>
        </w:numPr>
      </w:pPr>
      <w:r>
        <w:t xml:space="preserve">Postpaid net account adds:</w:t>
      </w:r>
      <w:r>
        <w:t xml:space="preserve"> </w:t>
      </w:r>
      <w:r>
        <w:rPr>
          <w:b/>
          <w:bCs/>
        </w:rPr>
        <w:t xml:space="preserve">950K–1,050K</w:t>
      </w:r>
      <w:r>
        <w:t xml:space="preserve"> </w:t>
      </w:r>
      <w:r>
        <w:t xml:space="preserve">(raised in Q1)</w:t>
      </w:r>
    </w:p>
    <w:p>
      <w:pPr>
        <w:pStyle w:val="Compact"/>
        <w:numPr>
          <w:ilvl w:val="0"/>
          <w:numId w:val="1003"/>
        </w:numPr>
      </w:pPr>
      <w:r>
        <w:t xml:space="preserve">Core Adjusted EBITDA:</w:t>
      </w:r>
      <w:r>
        <w:t xml:space="preserve"> </w:t>
      </w:r>
      <m:oMath>
        <m:r>
          <m:t>37.1</m:t>
        </m:r>
        <m:r>
          <m:t>B</m:t>
        </m:r>
        <m:r>
          <m:rPr>
            <m:sty m:val="p"/>
          </m:rPr>
          <m:t>–</m:t>
        </m:r>
      </m:oMath>
      <w:r>
        <w:rPr>
          <w:b/>
          <w:bCs/>
        </w:rPr>
        <w:t xml:space="preserve">37.5B</w:t>
      </w:r>
    </w:p>
    <w:p>
      <w:pPr>
        <w:pStyle w:val="Compact"/>
        <w:numPr>
          <w:ilvl w:val="0"/>
          <w:numId w:val="1003"/>
        </w:numPr>
      </w:pPr>
      <w:r>
        <w:t xml:space="preserve">Adjusted Free Cash Flow:</w:t>
      </w:r>
      <w:r>
        <w:t xml:space="preserve"> </w:t>
      </w:r>
      <m:oMath>
        <m:r>
          <m:t>18.1</m:t>
        </m:r>
        <m:r>
          <m:t>B</m:t>
        </m:r>
        <m:r>
          <m:rPr>
            <m:sty m:val="p"/>
          </m:rPr>
          <m:t>–</m:t>
        </m:r>
      </m:oMath>
      <w:r>
        <w:rPr>
          <w:b/>
          <w:bCs/>
        </w:rPr>
        <w:t xml:space="preserve">18.7B</w:t>
      </w:r>
    </w:p>
    <w:p>
      <w:pPr>
        <w:pStyle w:val="Compact"/>
        <w:numPr>
          <w:ilvl w:val="0"/>
          <w:numId w:val="1003"/>
        </w:numPr>
      </w:pPr>
      <w:r>
        <w:t xml:space="preserve">CapEx:</w:t>
      </w:r>
      <w:r>
        <w:t xml:space="preserve"> </w:t>
      </w:r>
      <w:r>
        <w:rPr>
          <w:b/>
          <w:bCs/>
        </w:rPr>
        <w:t xml:space="preserve">~$10B</w:t>
      </w:r>
      <w:r>
        <w:t xml:space="preserve"> </w:t>
      </w:r>
      <w:r>
        <w:t xml:space="preserve">(unchanged)</w:t>
      </w:r>
    </w:p>
    <w:p>
      <w:pPr>
        <w:pStyle w:val="Compact"/>
        <w:numPr>
          <w:ilvl w:val="0"/>
          <w:numId w:val="1003"/>
        </w:numPr>
      </w:pPr>
      <w:r>
        <w:t xml:space="preserve">2026 shareholder-return authorization: raised to</w:t>
      </w:r>
      <w:r>
        <w:t xml:space="preserve"> </w:t>
      </w:r>
      <w:r>
        <w:rPr>
          <w:b/>
          <w:bCs/>
        </w:rPr>
        <w:t xml:space="preserve">up to $18.2B</w:t>
      </w:r>
      <w:r>
        <w:t xml:space="preserve"> </w:t>
      </w:r>
      <w:r>
        <w:t xml:space="preserve">(from $14.6B); TMUS returned</w:t>
      </w:r>
      <w:r>
        <w:t xml:space="preserve"> </w:t>
      </w:r>
      <m:oMath>
        <m:r>
          <m:t>6.0</m:t>
        </m:r>
        <m:r>
          <m:t>B</m:t>
        </m:r>
        <m:r>
          <m:t>i</m:t>
        </m:r>
        <m:r>
          <m:t>n</m:t>
        </m:r>
        <m:r>
          <m:t>Q</m:t>
        </m:r>
        <m:r>
          <m:t>1</m:t>
        </m:r>
        <m:r>
          <m:t>a</m:t>
        </m:r>
        <m:r>
          <m:t>l</m:t>
        </m:r>
        <m:r>
          <m:t>o</m:t>
        </m:r>
        <m:r>
          <m:t>n</m:t>
        </m:r>
        <m:r>
          <m:t>e</m:t>
        </m:r>
        <m:r>
          <m:rPr>
            <m:sty m:val="p"/>
          </m:rPr>
          <m:t>(</m:t>
        </m:r>
      </m:oMath>
      <w:r>
        <w:t xml:space="preserve">4.9B buybacks + $1.1B dividends)</w:t>
      </w:r>
    </w:p>
    <w:p>
      <w:pPr>
        <w:pStyle w:val="FirstParagraph"/>
      </w:pPr>
      <w:r>
        <w:rPr>
          <w:b/>
          <w:bCs/>
        </w:rPr>
        <w:t xml:space="preserve">Watch for another raise.</w:t>
      </w:r>
      <w:r>
        <w:t xml:space="preserve"> </w:t>
      </w:r>
      <w:r>
        <w:t xml:space="preserve">TMUS has a pattern of beating and lifting. Given a strong first half, a further bump to accounts, EBITDA or FCF would be a strong signal that the operational story is intact despite the satellite noise. Conversely, a mere reaffirmation could disappoint given how much the stock has already de-rated.</w:t>
      </w:r>
    </w:p>
    <w:p>
      <w:r>
        <w:pict>
          <v:rect style="width:0;height:1.5pt" o:hralign="center" o:hrstd="t" o:hr="t"/>
        </w:pict>
      </w:r>
    </w:p>
    <w:bookmarkEnd w:id="19"/>
    <w:bookmarkStart w:id="20" w:name="bull-vs-bear-into-the-print"/>
    <w:p>
      <w:pPr>
        <w:pStyle w:val="Heading2"/>
      </w:pPr>
      <w:r>
        <w:t xml:space="preserve">Bull vs. bear into the print</w:t>
      </w:r>
    </w:p>
    <w:p>
      <w:pPr>
        <w:pStyle w:val="FirstParagraph"/>
      </w:pPr>
      <w:r>
        <w:rPr>
          <w:b/>
          <w:bCs/>
        </w:rPr>
        <w:t xml:space="preserve">Bull case:</w:t>
      </w:r>
      <w:r>
        <w:t xml:space="preserve"> </w:t>
      </w:r>
      <w:r>
        <w:t xml:space="preserve">Best network perception momentum (record share of switchers citing network quality; NPS 45, ~20% ahead of peers), 4x-peer service-revenue growth, industry-leading FCF, aggressive buybacks at a compressed multiple, and long runway in rural, business, FWA and fiber. Cheap vs. history.</w:t>
      </w:r>
    </w:p>
    <w:p>
      <w:pPr>
        <w:pStyle w:val="BodyText"/>
      </w:pPr>
      <w:r>
        <w:rPr>
          <w:b/>
          <w:bCs/>
        </w:rPr>
        <w:t xml:space="preserve">Bear case:</w:t>
      </w:r>
      <w:r>
        <w:t xml:space="preserve"> </w:t>
      </w:r>
      <w:r>
        <w:t xml:space="preserve">The satellite overhang won't fully clear until the SpaceX DTC deal and C-band auction resolve; ARPA decelerates in Q2; account churn is creeping up; GAAP EPS is declining on merger costs; and DT ownership/foreign-ownership dynamics add governance uncertainty.</w:t>
      </w:r>
    </w:p>
    <w:p>
      <w:r>
        <w:pict>
          <v:rect style="width:0;height:1.5pt" o:hralign="center" o:hrstd="t" o:hr="t"/>
        </w:pict>
      </w:r>
    </w:p>
    <w:bookmarkEnd w:id="20"/>
    <w:bookmarkStart w:id="21" w:name="bottom-line"/>
    <w:p>
      <w:pPr>
        <w:pStyle w:val="Heading2"/>
      </w:pPr>
      <w:r>
        <w:t xml:space="preserve">Bottom line</w:t>
      </w:r>
    </w:p>
    <w:p>
      <w:pPr>
        <w:pStyle w:val="FirstParagraph"/>
      </w:pPr>
      <w:r>
        <w:t xml:space="preserve">Expect a</w:t>
      </w:r>
      <w:r>
        <w:t xml:space="preserve"> </w:t>
      </w:r>
      <w:r>
        <w:rPr>
          <w:b/>
          <w:bCs/>
        </w:rPr>
        <w:t xml:space="preserve">fundamentally strong quarter</w:t>
      </w:r>
      <w:r>
        <w:t xml:space="preserve"> </w:t>
      </w:r>
      <w:r>
        <w:t xml:space="preserve">— EBITDA and FCF growth near +10%, healthy postpaid adds, continued broadband leadership — with a</w:t>
      </w:r>
      <w:r>
        <w:t xml:space="preserve"> </w:t>
      </w:r>
      <w:r>
        <w:rPr>
          <w:i/>
          <w:iCs/>
        </w:rPr>
        <w:t xml:space="preserve">deliberately soft</w:t>
      </w:r>
      <w:r>
        <w:t xml:space="preserve"> </w:t>
      </w:r>
      <w:r>
        <w:t xml:space="preserve">Q2 ARPA that management has pre-warned. The share reaction will hinge less on the beat and more on:</w:t>
      </w:r>
      <w:r>
        <w:t xml:space="preserve"> </w:t>
      </w:r>
      <w:r>
        <w:rPr>
          <w:b/>
          <w:bCs/>
        </w:rPr>
        <w:t xml:space="preserve">(1)</w:t>
      </w:r>
      <w:r>
        <w:t xml:space="preserve"> </w:t>
      </w:r>
      <w:r>
        <w:t xml:space="preserve">whether the guide gets raised again,</w:t>
      </w:r>
      <w:r>
        <w:t xml:space="preserve"> </w:t>
      </w:r>
      <w:r>
        <w:rPr>
          <w:b/>
          <w:bCs/>
        </w:rPr>
        <w:t xml:space="preserve">(2)</w:t>
      </w:r>
      <w:r>
        <w:t xml:space="preserve"> </w:t>
      </w:r>
      <w:r>
        <w:t xml:space="preserve">any concrete de-risking of the SpaceX/Starlink relationship, and</w:t>
      </w:r>
      <w:r>
        <w:t xml:space="preserve"> </w:t>
      </w:r>
      <w:r>
        <w:rPr>
          <w:b/>
          <w:bCs/>
        </w:rPr>
        <w:t xml:space="preserve">(3)</w:t>
      </w:r>
      <w:r>
        <w:t xml:space="preserve"> </w:t>
      </w:r>
      <w:r>
        <w:t xml:space="preserve">management's handling of the DT and leadership-transition questions. With the stock down ~4% YTD and near five-year-low multiples, the bar is arguably low — the print is the easy part; changing the narrative is the hard part.</w:t>
      </w:r>
    </w:p>
    <w:p>
      <w:pPr>
        <w:pStyle w:val="BodyText"/>
      </w:pPr>
      <w:r>
        <w:rPr>
          <w:i/>
          <w:iCs/>
        </w:rPr>
        <w:t xml:space="preserve">Preview based on TMUS Q1 2026 results/guidance, the Q1 earnings call, recent news flow through July 22, 2026, and the July 7 leadership announcement. Consensus figures are Street estimates as reported in pre-earnings news digests. Not investment advice.</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2026-07-23T00:06:59Z</dcterms:created>
  <dcterms:modified xsi:type="dcterms:W3CDTF">2026-07-23T00:06:59Z</dcterms:modified>
</cp:coreProperties>
</file>

<file path=docProps/custom.xml><?xml version="1.0" encoding="utf-8"?>
<Properties xmlns="http://schemas.openxmlformats.org/officeDocument/2006/custom-properties" xmlns:vt="http://schemas.openxmlformats.org/officeDocument/2006/docPropsVTypes"/>
</file>