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f82f33e506f1f6da2ce4d189d4f7c6e1d06d2e2"/>
    <w:p>
      <w:pPr>
        <w:pStyle w:val="Heading1"/>
      </w:pPr>
      <w:r>
        <w:t xml:space="preserve">T-Mobile US (TMUS) — Q2 2026 Earnings Preview</w:t>
      </w:r>
    </w:p>
    <w:p>
      <w:pPr>
        <w:pStyle w:val="FirstParagraph"/>
      </w:pPr>
      <w:r>
        <w:rPr>
          <w:b/>
          <w:bCs/>
        </w:rPr>
        <w:t xml:space="preserve">Report Date:</w:t>
      </w:r>
      <w:r>
        <w:t xml:space="preserve"> </w:t>
      </w:r>
      <w:r>
        <w:t xml:space="preserve">Thursday, July 23,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TMUS heads into tomorrow's report as the best-positioned of the "Big 3" carriers by fundamentals, but the stock has been a laggard for much of 2026. Shares closed around</w:t>
      </w:r>
      <w:r>
        <w:t xml:space="preserve"> </w:t>
      </w:r>
      <w:r>
        <w:rPr>
          <w:b/>
          <w:bCs/>
        </w:rPr>
        <w:t xml:space="preserve">$190.97</w:t>
      </w:r>
      <w:r>
        <w:t xml:space="preserve"> </w:t>
      </w:r>
      <w:r>
        <w:t xml:space="preserve">on July 22, still well off the February highs near</w:t>
      </w:r>
      <w:r>
        <w:t xml:space="preserve"> </w:t>
      </w:r>
      <m:oMath>
        <m:r>
          <m:t>220</m:t>
        </m:r>
        <m:r>
          <m:t>a</m:t>
        </m:r>
        <m:r>
          <m:t>n</m:t>
        </m:r>
        <m:r>
          <m:t>d</m:t>
        </m:r>
        <m:r>
          <m:t>r</m:t>
        </m:r>
        <m:r>
          <m:t>o</m:t>
        </m:r>
        <m:r>
          <m:t>u</m:t>
        </m:r>
        <m:r>
          <m:t>g</m:t>
        </m:r>
        <m:r>
          <m:t>h</m:t>
        </m:r>
        <m:r>
          <m:t>l</m:t>
        </m:r>
        <m:r>
          <m:t>y</m:t>
        </m:r>
        <m:r>
          <m:t>f</m:t>
        </m:r>
        <m:r>
          <m:t>l</m:t>
        </m:r>
        <m:r>
          <m:t>a</m:t>
        </m:r>
        <m:r>
          <m:t>t</m:t>
        </m:r>
        <m:r>
          <m:rPr>
            <m:sty m:val="p"/>
          </m:rPr>
          <m:t>−</m:t>
        </m:r>
        <m:r>
          <m:t>t</m:t>
        </m:r>
        <m:r>
          <m:t>o</m:t>
        </m:r>
        <m:r>
          <m:rPr>
            <m:sty m:val="p"/>
          </m:rPr>
          <m:t>−</m:t>
        </m:r>
        <m:r>
          <m:t>d</m:t>
        </m:r>
        <m:r>
          <m:t>o</m:t>
        </m:r>
        <m:r>
          <m:t>w</m:t>
        </m:r>
        <m:r>
          <m:t>n</m:t>
        </m:r>
        <m:r>
          <m:t>f</m:t>
        </m:r>
        <m:r>
          <m:t>o</m:t>
        </m:r>
        <m:r>
          <m:t>r</m:t>
        </m:r>
        <m:r>
          <m:t>t</m:t>
        </m:r>
        <m:r>
          <m:t>h</m:t>
        </m:r>
        <m:r>
          <m:t>e</m:t>
        </m:r>
        <m:r>
          <m:t>y</m:t>
        </m:r>
        <m:r>
          <m:t>e</m:t>
        </m:r>
        <m:r>
          <m:t>a</m:t>
        </m:r>
        <m:r>
          <m:t>r</m:t>
        </m:r>
        <m:r>
          <m:rPr>
            <m:sty m:val="p"/>
          </m:rPr>
          <m:t>,</m:t>
        </m:r>
        <m:r>
          <m:t>a</m:t>
        </m:r>
        <m:r>
          <m:t>s</m:t>
        </m:r>
        <m:r>
          <m:t>t</m:t>
        </m:r>
        <m:r>
          <m:t>w</m:t>
        </m:r>
        <m:r>
          <m:t>o</m:t>
        </m:r>
        <m:r>
          <m:t>o</m:t>
        </m:r>
        <m:r>
          <m:t>v</m:t>
        </m:r>
        <m:r>
          <m:t>e</m:t>
        </m:r>
        <m:r>
          <m:t>r</m:t>
        </m:r>
        <m:r>
          <m:t>h</m:t>
        </m:r>
        <m:r>
          <m:t>a</m:t>
        </m:r>
        <m:r>
          <m:t>n</m:t>
        </m:r>
        <m:r>
          <m:t>g</m:t>
        </m:r>
        <m:r>
          <m:t>s</m:t>
        </m:r>
        <m:r>
          <m:t>h</m:t>
        </m:r>
        <m:r>
          <m:t>a</m:t>
        </m:r>
        <m:r>
          <m:t>v</m:t>
        </m:r>
        <m:r>
          <m:t>e</m:t>
        </m:r>
        <m:r>
          <m:t>w</m:t>
        </m:r>
        <m:r>
          <m:t>e</m:t>
        </m:r>
        <m:r>
          <m:t>i</m:t>
        </m:r>
        <m:r>
          <m:t>g</m:t>
        </m:r>
        <m:r>
          <m:t>h</m:t>
        </m:r>
        <m:r>
          <m:t>e</m:t>
        </m:r>
        <m:r>
          <m:t>d</m:t>
        </m:r>
        <m:r>
          <m:t>o</m:t>
        </m:r>
        <m:r>
          <m:t>n</m:t>
        </m:r>
        <m:r>
          <m:t>s</m:t>
        </m:r>
        <m:r>
          <m:t>e</m:t>
        </m:r>
        <m:r>
          <m:t>n</m:t>
        </m:r>
        <m:r>
          <m:t>t</m:t>
        </m:r>
        <m:r>
          <m:t>i</m:t>
        </m:r>
        <m:r>
          <m:t>m</m:t>
        </m:r>
        <m:r>
          <m:t>e</m:t>
        </m:r>
        <m:r>
          <m:t>n</m:t>
        </m:r>
        <m:r>
          <m:t>t</m:t>
        </m:r>
        <m:r>
          <m:rPr>
            <m:sty m:val="p"/>
          </m:rPr>
          <m:t>:</m:t>
        </m:r>
        <m:r>
          <m:rPr>
            <m:sty m:val="p"/>
          </m:rPr>
          <m:t>(</m:t>
        </m:r>
        <m:r>
          <m:t>1</m:t>
        </m:r>
        <m:r>
          <m:rPr>
            <m:sty m:val="p"/>
          </m:rPr>
          <m:t>)</m:t>
        </m:r>
        <m:r>
          <m:t>f</m:t>
        </m:r>
        <m:r>
          <m:t>e</m:t>
        </m:r>
        <m:r>
          <m:t>a</m:t>
        </m:r>
        <m:r>
          <m:t>r</m:t>
        </m:r>
        <m:r>
          <m:t>s</m:t>
        </m:r>
        <m:r>
          <m:t>t</m:t>
        </m:r>
        <m:r>
          <m:t>h</m:t>
        </m:r>
        <m:r>
          <m:t>a</m:t>
        </m:r>
        <m:r>
          <m:t>t</m:t>
        </m:r>
        <m:r>
          <m:t>S</m:t>
        </m:r>
        <m:r>
          <m:t>p</m:t>
        </m:r>
        <m:r>
          <m:t>a</m:t>
        </m:r>
        <m:r>
          <m:t>c</m:t>
        </m:r>
        <m:r>
          <m:t>e</m:t>
        </m:r>
        <m:sSup>
          <m:e>
            <m:r>
              <m:t>X</m:t>
            </m:r>
          </m:e>
          <m:sup>
            <m:r>
              <m:rPr>
                <m:sty m:val="p"/>
              </m:rPr>
              <m:t>′</m:t>
            </m:r>
          </m:sup>
        </m:sSup>
        <m:r>
          <m:t>s</m:t>
        </m:r>
        <m:r>
          <m:t>S</m:t>
        </m:r>
        <m:r>
          <m:t>t</m:t>
        </m:r>
        <m:r>
          <m:t>a</m:t>
        </m:r>
        <m:r>
          <m:t>r</m:t>
        </m:r>
        <m:r>
          <m:t>l</m:t>
        </m:r>
        <m:r>
          <m:t>i</m:t>
        </m:r>
        <m:r>
          <m:t>n</m:t>
        </m:r>
        <m:r>
          <m:t>k</m:t>
        </m:r>
        <m:r>
          <m:t>c</m:t>
        </m:r>
        <m:r>
          <m:t>o</m:t>
        </m:r>
        <m:r>
          <m:t>u</m:t>
        </m:r>
        <m:r>
          <m:t>l</m:t>
        </m:r>
        <m:r>
          <m:t>d</m:t>
        </m:r>
        <m:r>
          <m:t>e</m:t>
        </m:r>
        <m:r>
          <m:t>v</m:t>
        </m:r>
        <m:r>
          <m:t>e</m:t>
        </m:r>
        <m:r>
          <m:t>n</m:t>
        </m:r>
        <m:r>
          <m:t>t</m:t>
        </m:r>
        <m:r>
          <m:t>u</m:t>
        </m:r>
        <m:r>
          <m:t>a</m:t>
        </m:r>
        <m:r>
          <m:t>l</m:t>
        </m:r>
        <m:r>
          <m:t>l</m:t>
        </m:r>
        <m:r>
          <m:t>y</m:t>
        </m:r>
        <m:r>
          <m:t>c</m:t>
        </m:r>
        <m:r>
          <m:t>o</m:t>
        </m:r>
        <m:r>
          <m:t>m</m:t>
        </m:r>
        <m:r>
          <m:t>p</m:t>
        </m:r>
        <m:r>
          <m:t>e</m:t>
        </m:r>
        <m:r>
          <m:t>t</m:t>
        </m:r>
        <m:r>
          <m:t>e</m:t>
        </m:r>
        <m:r>
          <m:t>m</m:t>
        </m:r>
        <m:r>
          <m:t>o</m:t>
        </m:r>
        <m:r>
          <m:t>r</m:t>
        </m:r>
        <m:r>
          <m:t>e</m:t>
        </m:r>
        <m:r>
          <m:t>d</m:t>
        </m:r>
        <m:r>
          <m:t>i</m:t>
        </m:r>
        <m:r>
          <m:t>r</m:t>
        </m:r>
        <m:r>
          <m:t>e</m:t>
        </m:r>
        <m:r>
          <m:t>c</m:t>
        </m:r>
        <m:r>
          <m:t>t</m:t>
        </m:r>
        <m:r>
          <m:t>l</m:t>
        </m:r>
        <m:r>
          <m:t>y</m:t>
        </m:r>
        <m:r>
          <m:t>i</m:t>
        </m:r>
        <m:r>
          <m:t>n</m:t>
        </m:r>
        <m:r>
          <m:t>w</m:t>
        </m:r>
        <m:r>
          <m:t>i</m:t>
        </m:r>
        <m:r>
          <m:t>r</m:t>
        </m:r>
        <m:r>
          <m:t>e</m:t>
        </m:r>
        <m:r>
          <m:t>l</m:t>
        </m:r>
        <m:r>
          <m:t>e</m:t>
        </m:r>
        <m:r>
          <m:t>s</m:t>
        </m:r>
        <m:r>
          <m:t>s</m:t>
        </m:r>
        <m:r>
          <m:rPr>
            <m:sty m:val="p"/>
          </m:rPr>
          <m:t>/</m:t>
        </m:r>
        <m:r>
          <m:t>b</m:t>
        </m:r>
        <m:r>
          <m:t>r</m:t>
        </m:r>
        <m:r>
          <m:t>o</m:t>
        </m:r>
        <m:r>
          <m:t>a</m:t>
        </m:r>
        <m:r>
          <m:t>d</m:t>
        </m:r>
        <m:r>
          <m:t>b</m:t>
        </m:r>
        <m:r>
          <m:t>a</m:t>
        </m:r>
        <m:r>
          <m:t>n</m:t>
        </m:r>
        <m:r>
          <m:t>d</m:t>
        </m:r>
        <m:r>
          <m:rPr>
            <m:sty m:val="p"/>
          </m:rPr>
          <m:t>,</m:t>
        </m:r>
        <m:r>
          <m:t>a</m:t>
        </m:r>
        <m:r>
          <m:t>n</m:t>
        </m:r>
        <m:r>
          <m:t>d</m:t>
        </m:r>
        <m:r>
          <m:rPr>
            <m:sty m:val="p"/>
          </m:rPr>
          <m:t>(</m:t>
        </m:r>
        <m:r>
          <m:t>2</m:t>
        </m:r>
        <m:r>
          <m:rPr>
            <m:sty m:val="p"/>
          </m:rPr>
          <m:t>)</m:t>
        </m:r>
        <m:r>
          <m:t>r</m:t>
        </m:r>
        <m:r>
          <m:t>e</m:t>
        </m:r>
        <m:r>
          <m:t>p</m:t>
        </m:r>
        <m:r>
          <m:t>o</m:t>
        </m:r>
        <m:r>
          <m:t>r</m:t>
        </m:r>
        <m:r>
          <m:t>t</m:t>
        </m:r>
        <m:r>
          <m:t>s</m:t>
        </m:r>
        <m:r>
          <m:t>t</m:t>
        </m:r>
        <m:r>
          <m:t>h</m:t>
        </m:r>
        <m:r>
          <m:t>a</m:t>
        </m:r>
        <m:r>
          <m:t>t</m:t>
        </m:r>
        <m:r>
          <m:t>p</m:t>
        </m:r>
        <m:r>
          <m:t>a</m:t>
        </m:r>
        <m:r>
          <m:t>r</m:t>
        </m:r>
        <m:r>
          <m:t>e</m:t>
        </m:r>
        <m:r>
          <m:t>n</m:t>
        </m:r>
        <m:r>
          <m:t>t</m:t>
        </m:r>
        <m:r>
          <m:rPr>
            <m:sty m:val="p"/>
          </m:rPr>
          <m:t>*</m:t>
        </m:r>
        <m:r>
          <m:rPr>
            <m:sty m:val="p"/>
          </m:rPr>
          <m:t>*</m:t>
        </m:r>
        <m:r>
          <m:t>D</m:t>
        </m:r>
        <m:r>
          <m:t>e</m:t>
        </m:r>
        <m:r>
          <m:t>u</m:t>
        </m:r>
        <m:r>
          <m:t>t</m:t>
        </m:r>
        <m:r>
          <m:t>s</m:t>
        </m:r>
        <m:r>
          <m:t>c</m:t>
        </m:r>
        <m:r>
          <m:t>h</m:t>
        </m:r>
        <m:r>
          <m:t>e</m:t>
        </m:r>
        <m:r>
          <m:t>T</m:t>
        </m:r>
        <m:r>
          <m:t>e</m:t>
        </m:r>
        <m:r>
          <m:t>l</m:t>
        </m:r>
        <m:r>
          <m:t>e</m:t>
        </m:r>
        <m:r>
          <m:t>k</m:t>
        </m:r>
        <m:r>
          <m:t>o</m:t>
        </m:r>
        <m:r>
          <m:t>m</m:t>
        </m:r>
        <m:r>
          <m:rPr>
            <m:sty m:val="p"/>
          </m:rPr>
          <m:t>*</m:t>
        </m:r>
        <m:r>
          <m:rPr>
            <m:sty m:val="p"/>
          </m:rPr>
          <m:t>*</m:t>
        </m:r>
        <m:r>
          <m:t>i</m:t>
        </m:r>
        <m:r>
          <m:t>s</m:t>
        </m:r>
        <m:r>
          <m:t>e</m:t>
        </m:r>
        <m:r>
          <m:t>x</m:t>
        </m:r>
        <m:r>
          <m:t>p</m:t>
        </m:r>
        <m:r>
          <m:t>l</m:t>
        </m:r>
        <m:r>
          <m:t>o</m:t>
        </m:r>
        <m:r>
          <m:t>r</m:t>
        </m:r>
        <m:r>
          <m:t>i</m:t>
        </m:r>
        <m:r>
          <m:t>n</m:t>
        </m:r>
        <m:r>
          <m:t>g</m:t>
        </m:r>
        <m:r>
          <m:t>a</m:t>
        </m:r>
        <m:r>
          <m:t>f</m:t>
        </m:r>
        <m:r>
          <m:t>u</m:t>
        </m:r>
        <m:r>
          <m:t>l</m:t>
        </m:r>
        <m:r>
          <m:t>l</m:t>
        </m:r>
        <m:r>
          <m:t>c</m:t>
        </m:r>
        <m:r>
          <m:t>o</m:t>
        </m:r>
        <m:r>
          <m:t>m</m:t>
        </m:r>
        <m:r>
          <m:t>b</m:t>
        </m:r>
        <m:r>
          <m:t>i</m:t>
        </m:r>
        <m:r>
          <m:t>n</m:t>
        </m:r>
        <m:r>
          <m:t>a</m:t>
        </m:r>
        <m:r>
          <m:t>t</m:t>
        </m:r>
        <m:r>
          <m:t>i</m:t>
        </m:r>
        <m:r>
          <m:t>o</m:t>
        </m:r>
        <m:r>
          <m:t>n</m:t>
        </m:r>
        <m:r>
          <m:t>w</m:t>
        </m:r>
        <m:r>
          <m:t>i</m:t>
        </m:r>
        <m:r>
          <m:t>t</m:t>
        </m:r>
        <m:r>
          <m:t>h</m:t>
        </m:r>
        <m:r>
          <m:t>T</m:t>
        </m:r>
        <m:r>
          <m:rPr>
            <m:sty m:val="p"/>
          </m:rPr>
          <m:t>−</m:t>
        </m:r>
        <m:r>
          <m:t>M</m:t>
        </m:r>
        <m:r>
          <m:t>o</m:t>
        </m:r>
        <m:r>
          <m:t>b</m:t>
        </m:r>
        <m:r>
          <m:t>i</m:t>
        </m:r>
        <m:r>
          <m:t>l</m:t>
        </m:r>
        <m:r>
          <m:t>e</m:t>
        </m:r>
        <m:r>
          <m:t>U</m:t>
        </m:r>
        <m:r>
          <m:t>S</m:t>
        </m:r>
        <m:r>
          <m:t>t</m:t>
        </m:r>
        <m:r>
          <m:t>h</m:t>
        </m:r>
        <m:r>
          <m:t>a</m:t>
        </m:r>
        <m:r>
          <m:t>t</m:t>
        </m:r>
        <m:r>
          <m:t>c</m:t>
        </m:r>
        <m:r>
          <m:t>o</m:t>
        </m:r>
        <m:r>
          <m:t>u</m:t>
        </m:r>
        <m:r>
          <m:t>l</m:t>
        </m:r>
        <m:r>
          <m:t>d</m:t>
        </m:r>
        <m:r>
          <m:t>c</m:t>
        </m:r>
        <m:r>
          <m:t>r</m:t>
        </m:r>
        <m:r>
          <m:t>e</m:t>
        </m:r>
        <m:r>
          <m:t>a</m:t>
        </m:r>
        <m:r>
          <m:t>t</m:t>
        </m:r>
        <m:r>
          <m:t>e</m:t>
        </m:r>
        <m:r>
          <m:t>a</m:t>
        </m:r>
        <m:r>
          <m:t> </m:t>
        </m:r>
      </m:oMath>
      <w:r>
        <w:t xml:space="preserve">300 billion combined entity — the largest M&amp;A deal in history if it happens. On the Q1 call, CEO Srini Gopalan declined to comment on the merger speculation but noted any such deal would require a separate "majority of the minority" disinterested-shareholder approval process, and talks were reported to still be in early stages with Berlin's ~28% stake in DT complicating the calculus.</w:t>
      </w:r>
    </w:p>
    <w:p>
      <w:pPr>
        <w:pStyle w:val="BodyText"/>
      </w:pPr>
      <w:r>
        <w:t xml:space="preserve">Despite the noise, fundamentals have remained the best in the sector. As one analyst framed it heading into this print, T-Mobile is "trading for 14 times earnings estimates for 2026," a multiple "barely above its five-year low of 13" and well below its historical forward average near 20x — a valuation gap that bulls (Morgan Stanley, BofA) argue overstates Starlink risk given T-Mobile's urban-skewed footprint and spectrum position, while a bear (Wells Fargo, initiating at Equal Weight/$170) is more cautious.</w:t>
      </w:r>
    </w:p>
    <w:bookmarkEnd w:id="9"/>
    <w:bookmarkStart w:id="10" w:name="Xf8b200b95a8466b1ae1fb309bd142005147147a"/>
    <w:p>
      <w:pPr>
        <w:pStyle w:val="Heading2"/>
      </w:pPr>
      <w:r>
        <w:t xml:space="preserve">Q1 2026 Recap: The Bar TMUS Set for Itself</w:t>
      </w:r>
    </w:p>
    <w:p>
      <w:pPr>
        <w:pStyle w:val="FirstParagraph"/>
      </w:pPr>
      <w:r>
        <w:t xml:space="preserve">T-Mobile's Q1 was strong across the board and the company raised full-year guidance on the back of it:</w:t>
      </w:r>
    </w:p>
    <w:p>
      <w:pPr>
        <w:pStyle w:val="Compact"/>
        <w:numPr>
          <w:ilvl w:val="0"/>
          <w:numId w:val="1001"/>
        </w:numPr>
      </w:pPr>
      <w:r>
        <w:t xml:space="preserve">Postpaid net account additions of 217,000, up 6% year-over-year, with postpaid ARPA of $151.93 growing 3.9% y/y</w:t>
      </w:r>
    </w:p>
    <w:p>
      <w:pPr>
        <w:pStyle w:val="Compact"/>
        <w:numPr>
          <w:ilvl w:val="0"/>
          <w:numId w:val="1001"/>
        </w:numPr>
      </w:pPr>
      <w:r>
        <w:t xml:space="preserve">Total service revenues of $18.8 billion (+11% y/y) and postpaid service revenues of $15.6 billion (+15% y/y)</w:t>
      </w:r>
    </w:p>
    <w:p>
      <w:pPr>
        <w:pStyle w:val="Compact"/>
        <w:numPr>
          <w:ilvl w:val="0"/>
          <w:numId w:val="1001"/>
        </w:numPr>
      </w:pPr>
      <w:r>
        <w:t xml:space="preserve">Core Adjusted EBITDA of $9.2 billion (+12% y/y) and Adjusted Free Cash Flow of $4.6 billion (+5% y/y)</w:t>
      </w:r>
    </w:p>
    <w:p>
      <w:pPr>
        <w:pStyle w:val="Compact"/>
        <w:numPr>
          <w:ilvl w:val="0"/>
          <w:numId w:val="1001"/>
        </w:numPr>
      </w:pPr>
      <m:oMath>
        <m:r>
          <m:t>6.0</m:t>
        </m:r>
        <m:r>
          <m:t>b</m:t>
        </m:r>
        <m:r>
          <m:t>i</m:t>
        </m:r>
        <m:r>
          <m:t>l</m:t>
        </m:r>
        <m:r>
          <m:t>l</m:t>
        </m:r>
        <m:r>
          <m:t>i</m:t>
        </m:r>
        <m:r>
          <m:t>o</m:t>
        </m:r>
        <m:r>
          <m:t>n</m:t>
        </m:r>
        <m:r>
          <m:t>r</m:t>
        </m:r>
        <m:r>
          <m:t>e</m:t>
        </m:r>
        <m:r>
          <m:t>t</m:t>
        </m:r>
        <m:r>
          <m:t>u</m:t>
        </m:r>
        <m:r>
          <m:t>r</m:t>
        </m:r>
        <m:r>
          <m:t>n</m:t>
        </m:r>
        <m:r>
          <m:t>e</m:t>
        </m:r>
        <m:r>
          <m:t>d</m:t>
        </m:r>
        <m:r>
          <m:t>t</m:t>
        </m:r>
        <m:r>
          <m:t>o</m:t>
        </m:r>
        <m:r>
          <m:t>s</m:t>
        </m:r>
        <m:r>
          <m:t>h</m:t>
        </m:r>
        <m:r>
          <m:t>a</m:t>
        </m:r>
        <m:r>
          <m:t>r</m:t>
        </m:r>
        <m:r>
          <m:t>e</m:t>
        </m:r>
        <m:r>
          <m:t>h</m:t>
        </m:r>
        <m:r>
          <m:t>o</m:t>
        </m:r>
        <m:r>
          <m:t>l</m:t>
        </m:r>
        <m:r>
          <m:t>d</m:t>
        </m:r>
        <m:r>
          <m:t>e</m:t>
        </m:r>
        <m:r>
          <m:t>r</m:t>
        </m:r>
        <m:r>
          <m:t>s</m:t>
        </m:r>
        <m:r>
          <m:t>i</m:t>
        </m:r>
        <m:r>
          <m:t>n</m:t>
        </m:r>
        <m:r>
          <m:t>t</m:t>
        </m:r>
        <m:r>
          <m:t>h</m:t>
        </m:r>
        <m:r>
          <m:t>e</m:t>
        </m:r>
        <m:r>
          <m:t>q</m:t>
        </m:r>
        <m:r>
          <m:t>u</m:t>
        </m:r>
        <m:r>
          <m:t>a</m:t>
        </m:r>
        <m:r>
          <m:t>r</m:t>
        </m:r>
        <m:r>
          <m:t>t</m:t>
        </m:r>
        <m:r>
          <m:t>e</m:t>
        </m:r>
        <m:r>
          <m:t>r</m:t>
        </m:r>
        <m:r>
          <m:rPr>
            <m:sty m:val="p"/>
          </m:rPr>
          <m:t>(</m:t>
        </m:r>
      </m:oMath>
      <w:r>
        <w:t xml:space="preserve">4.9B buybacks, $1.1B dividends)</w:t>
      </w:r>
    </w:p>
    <w:p>
      <w:pPr>
        <w:pStyle w:val="FirstParagraph"/>
      </w:pPr>
      <w:r>
        <w:t xml:space="preserve">Management used that strength to raise full-year 2026 guidance: postpaid net adds to 950K–1.05M (from 900K–1.0M), Core Adjusted EBITDA to</w:t>
      </w:r>
      <w:r>
        <w:t xml:space="preserve"> </w:t>
      </w:r>
      <m:oMath>
        <m:r>
          <m:t>37.1</m:t>
        </m:r>
        <m:r>
          <m:rPr>
            <m:sty m:val="p"/>
          </m:rPr>
          <m:t>–</m:t>
        </m:r>
      </m:oMath>
      <w:r>
        <w:t xml:space="preserve">37.5B, and Adjusted Free Cash Flow to</w:t>
      </w:r>
      <w:r>
        <w:t xml:space="preserve"> </w:t>
      </w:r>
      <m:oMath>
        <m:r>
          <m:t>18.1</m:t>
        </m:r>
        <m:r>
          <m:rPr>
            <m:sty m:val="p"/>
          </m:rPr>
          <m:t>–</m:t>
        </m:r>
      </m:oMath>
      <w:r>
        <w:t xml:space="preserve">18.7B, while reaffirming ~</w:t>
      </w:r>
      <m:oMath>
        <m:r>
          <m:t>77</m:t>
        </m:r>
        <m:r>
          <m:t>B</m:t>
        </m:r>
        <m:r>
          <m:t>i</m:t>
        </m:r>
        <m:r>
          <m:t>n</m:t>
        </m:r>
        <m:r>
          <m:t>s</m:t>
        </m:r>
        <m:r>
          <m:t>e</m:t>
        </m:r>
        <m:r>
          <m:t>r</m:t>
        </m:r>
        <m:r>
          <m:t>v</m:t>
        </m:r>
        <m:r>
          <m:t>i</m:t>
        </m:r>
        <m:r>
          <m:t>c</m:t>
        </m:r>
        <m:r>
          <m:t>e</m:t>
        </m:r>
        <m:r>
          <m:t>r</m:t>
        </m:r>
        <m:r>
          <m:t>e</m:t>
        </m:r>
        <m:r>
          <m:t>v</m:t>
        </m:r>
        <m:r>
          <m:t>e</m:t>
        </m:r>
        <m:r>
          <m:t>n</m:t>
        </m:r>
        <m:r>
          <m:t>u</m:t>
        </m:r>
        <m:r>
          <m:t>e</m:t>
        </m:r>
        <m:r>
          <m:rPr>
            <m:sty m:val="p"/>
          </m:rPr>
          <m:t>(</m:t>
        </m:r>
        <m:r>
          <m:rPr>
            <m:sty m:val="p"/>
          </m:rPr>
          <m:t>+</m:t>
        </m:r>
        <m:r>
          <m:t>8</m:t>
        </m:r>
      </m:oMath>
      <w:r>
        <w:t xml:space="preserve">10B in capex. The board also bumped the 2026 stockholder-return authorization by $3.6B to $18.2B total.</w:t>
      </w:r>
    </w:p>
    <w:bookmarkEnd w:id="10"/>
    <w:bookmarkStart w:id="11" w:name="what-management-explicitly-guided-for-q2"/>
    <w:p>
      <w:pPr>
        <w:pStyle w:val="Heading2"/>
      </w:pPr>
      <w:r>
        <w:t xml:space="preserve">What Management Explicitly Guided for Q2</w:t>
      </w:r>
    </w:p>
    <w:p>
      <w:pPr>
        <w:pStyle w:val="FirstParagraph"/>
      </w:pPr>
      <w:r>
        <w:t xml:space="preserve">On the Q1 call, CFO Peter Osvaldik gave specific Q2 markers that the Street will hold TMUS to:</w:t>
      </w:r>
    </w:p>
    <w:p>
      <w:pPr>
        <w:pStyle w:val="Compact"/>
        <w:numPr>
          <w:ilvl w:val="0"/>
          <w:numId w:val="1002"/>
        </w:numPr>
      </w:pPr>
      <w:r>
        <w:rPr>
          <w:b/>
          <w:bCs/>
        </w:rPr>
        <w:t xml:space="preserve">Service revenue</w:t>
      </w:r>
      <w:r>
        <w:t xml:space="preserve"> </w:t>
      </w:r>
      <w:r>
        <w:t xml:space="preserve">of approximately $19 billion, up 9% y/y</w:t>
      </w:r>
    </w:p>
    <w:p>
      <w:pPr>
        <w:pStyle w:val="Compact"/>
        <w:numPr>
          <w:ilvl w:val="0"/>
          <w:numId w:val="1002"/>
        </w:numPr>
      </w:pPr>
      <w:r>
        <w:rPr>
          <w:b/>
          <w:bCs/>
        </w:rPr>
        <w:t xml:space="preserve">Core Adjusted EBITDA</w:t>
      </w:r>
      <w:r>
        <w:t xml:space="preserve"> </w:t>
      </w:r>
      <w:r>
        <w:t xml:space="preserve">of approximately $9.4 billion, up 10% y/y</w:t>
      </w:r>
    </w:p>
    <w:p>
      <w:pPr>
        <w:pStyle w:val="Compact"/>
        <w:numPr>
          <w:ilvl w:val="0"/>
          <w:numId w:val="1002"/>
        </w:numPr>
      </w:pPr>
      <w:r>
        <w:rPr>
          <w:b/>
          <w:bCs/>
        </w:rPr>
        <w:t xml:space="preserve">Postpaid ARPA growth decelerating to roughly ~2% y/y</w:t>
      </w:r>
      <w:r>
        <w:t xml:space="preserve"> </w:t>
      </w:r>
      <w:r>
        <w:t xml:space="preserve">— a math/comp issue, not a fundamental one, since Q2 2025 benefited from a round of rate-plan optimizations that Q1 2025 didn't, and Q2 2026 also absorbs the dilutive effects of UScellular, Metronet and Lumos. Management guided that ARPA growth should reaccelerate back toward 2.5–3% in the back half of the year.</w:t>
      </w:r>
    </w:p>
    <w:bookmarkEnd w:id="11"/>
    <w:bookmarkStart w:id="12" w:name="X581e2cb8ca3583e3b9bcd6ac7fc0721dba98358"/>
    <w:p>
      <w:pPr>
        <w:pStyle w:val="Heading2"/>
      </w:pPr>
      <w:r>
        <w:t xml:space="preserve">Wall Street Consensus Heading Into the Print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Consensus</w:t>
            </w:r>
          </w:p>
        </w:tc>
      </w:tr>
      <w:tr>
        <w:tc>
          <w:tcPr/>
          <w:p>
            <w:pPr>
              <w:pStyle w:val="Compact"/>
            </w:pPr>
            <w:r>
              <w:t xml:space="preserve">EPS</w:t>
            </w:r>
          </w:p>
        </w:tc>
        <w:tc>
          <w:tcPr/>
          <w:p>
            <w:pPr>
              <w:pStyle w:val="Compact"/>
            </w:pPr>
            <w:r>
              <w:t xml:space="preserve">~</w:t>
            </w:r>
            <m:oMath>
              <m:r>
                <m:t>2.56</m:t>
              </m:r>
              <m:r>
                <m:rPr>
                  <m:sty m:val="p"/>
                </m:rPr>
                <m:t>–</m:t>
              </m:r>
            </m:oMath>
            <w:r>
              <w:t xml:space="preserve">2.67 (estimates range</w:t>
            </w:r>
            <w:r>
              <w:t xml:space="preserve"> </w:t>
            </w:r>
            <m:oMath>
              <m:r>
                <m:t>2.48</m:t>
              </m:r>
              <m:r>
                <m:rPr>
                  <m:sty m:val="p"/>
                </m:rPr>
                <m:t>–</m:t>
              </m:r>
            </m:oMath>
            <w:r>
              <w:t xml:space="preserve">2.86)</w:t>
            </w:r>
          </w:p>
        </w:tc>
      </w:tr>
      <w:tr>
        <w:tc>
          <w:tcPr/>
          <w:p>
            <w:pPr>
              <w:pStyle w:val="Compact"/>
            </w:pPr>
            <w:r>
              <w:t xml:space="preserve">Revenue</w:t>
            </w:r>
          </w:p>
        </w:tc>
        <w:tc>
          <w:tcPr/>
          <w:p>
            <w:pPr>
              <w:pStyle w:val="Compact"/>
            </w:pPr>
            <w:r>
              <w:t xml:space="preserve">~</w:t>
            </w:r>
            <m:oMath>
              <m:r>
                <m:t>22.95</m:t>
              </m:r>
              <m:r>
                <m:rPr>
                  <m:sty m:val="p"/>
                </m:rPr>
                <m:t>–</m:t>
              </m:r>
            </m:oMath>
            <w:r>
              <w:t xml:space="preserve">23.0 billion (+8.6% y/y)</w:t>
            </w:r>
          </w:p>
        </w:tc>
      </w:tr>
      <w:tr>
        <w:tc>
          <w:tcPr/>
          <w:p>
            <w:pPr>
              <w:pStyle w:val="Compact"/>
            </w:pPr>
            <w:r>
              <w:t xml:space="preserve">Core Adjusted EBITDA</w:t>
            </w:r>
          </w:p>
        </w:tc>
        <w:tc>
          <w:tcPr/>
          <w:p>
            <w:pPr>
              <w:pStyle w:val="Compact"/>
            </w:pPr>
            <w:r>
              <w:t xml:space="preserve">~$9.4 billion (+10.4% y/y), in line with guidance</w:t>
            </w:r>
          </w:p>
        </w:tc>
      </w:tr>
      <w:tr>
        <w:tc>
          <w:tcPr/>
          <w:p>
            <w:pPr>
              <w:pStyle w:val="Compact"/>
            </w:pPr>
            <w:r>
              <w:t xml:space="preserve">Adjusted Free Cash Flow</w:t>
            </w:r>
          </w:p>
        </w:tc>
        <w:tc>
          <w:tcPr/>
          <w:p>
            <w:pPr>
              <w:pStyle w:val="Compact"/>
            </w:pPr>
            <w:r>
              <w:t xml:space="preserve">~$4.55 billion</w:t>
            </w:r>
          </w:p>
        </w:tc>
      </w:tr>
      <w:tr>
        <w:tc>
          <w:tcPr/>
          <w:p>
            <w:pPr>
              <w:pStyle w:val="Compact"/>
            </w:pPr>
            <w:r>
              <w:t xml:space="preserve">Postpaid net account adds</w:t>
            </w:r>
          </w:p>
        </w:tc>
        <w:tc>
          <w:tcPr/>
          <w:p>
            <w:pPr>
              <w:pStyle w:val="Compact"/>
            </w:pPr>
            <w:r>
              <w:t xml:space="preserve">~262,000</w:t>
            </w:r>
          </w:p>
        </w:tc>
      </w:tr>
    </w:tbl>
    <w:p>
      <w:pPr>
        <w:pStyle w:val="BodyText"/>
      </w:pPr>
      <w:r>
        <w:t xml:space="preserve">Notably, one data point suggests estimate revisions have been mixed — nudged up modestly over the trailing month but down over the trailing 90 days — reflecting a market debating whether competitive/promotional intensity is eating into margins even as top-line growth stays industry-leading. TMUS has beaten EPS estimates every quarter over the trailing year with an average surprise north of 12%, though at least one model currently flags a negative "Earnings ESP," suggesting less certainty of an above-consensus beat this time versus prior quarters.</w:t>
      </w:r>
    </w:p>
    <w:bookmarkEnd w:id="12"/>
    <w:bookmarkStart w:id="13" w:name="key-things-to-watch-on-the-call"/>
    <w:p>
      <w:pPr>
        <w:pStyle w:val="Heading2"/>
      </w:pPr>
      <w:r>
        <w:t xml:space="preserve">Key Things to Watch on the Call</w:t>
      </w:r>
    </w:p>
    <w:p>
      <w:pPr>
        <w:pStyle w:val="FirstParagraph"/>
      </w:pPr>
      <w:r>
        <w:rPr>
          <w:b/>
          <w:bCs/>
        </w:rPr>
        <w:t xml:space="preserve">1. Postpaid account growth and the churn math.</w:t>
      </w:r>
      <w:r>
        <w:t xml:space="preserve"> </w:t>
      </w:r>
      <w:r>
        <w:t xml:space="preserve">Q1's postpaid account churn ticked up to 1.04% from 0.94% a year ago — management attributed this entirely to mix shift (faster-growing, higher-churn broadband-only and newer accounts carrying more weight), not competitive losses, and said underlying phone churn was stable. With T-Mobile actively migrating customers to updated/higher-value rate plans (some of which come with modest price increases), investors will want proof that pricing actions aren't triggering incremental churn — especially with peers signaling their own promotional shifts (AT&amp;T just posted a blowout quarter with 432,000 postpaid phone adds, well above the ~325,000 Street estimate, plus a record ~367,000 fiber adds, and accelerated its buyback to ~$10 billion; Verizon, meanwhile, is cutting roughly 3,000 jobs and divesting ~274 retail stores as it resets its own model).</w:t>
      </w:r>
    </w:p>
    <w:p>
      <w:pPr>
        <w:pStyle w:val="BodyText"/>
      </w:pPr>
      <w:r>
        <w:rPr>
          <w:b/>
          <w:bCs/>
        </w:rPr>
        <w:t xml:space="preserve">2. ARPA trajectory.</w:t>
      </w:r>
      <w:r>
        <w:t xml:space="preserve"> </w:t>
      </w:r>
      <w:r>
        <w:t xml:space="preserve">As flagged above, the y/y comp gets tougher in Q2. The market will be watching closely whether the deceleration matches management's own math (~2%) or comes in weaker, which would raise questions about pricing power heading into H2.</w:t>
      </w:r>
    </w:p>
    <w:p>
      <w:pPr>
        <w:pStyle w:val="BodyText"/>
      </w:pPr>
      <w:r>
        <w:rPr>
          <w:b/>
          <w:bCs/>
        </w:rPr>
        <w:t xml:space="preserve">3. Broadband/fixed wireless momentum.</w:t>
      </w:r>
      <w:r>
        <w:t xml:space="preserve"> </w:t>
      </w:r>
      <w:r>
        <w:t xml:space="preserve">T-Mobile has been the fastest-growing ISP in the country, adding over 500,000 total broadband customers in Q1 with accelerating 5G broadband net adds, and management has a long-run target of 15–19 million broadband customers by 2030. Watch for updates on the two new fiber joint ventures (to acquire GoNetSpeed, Greenlight Networks and i3 Broadband, ~$2.7 billion in combined investment) and the newly launched</w:t>
      </w:r>
      <w:r>
        <w:t xml:space="preserve"> </w:t>
      </w:r>
      <w:r>
        <w:rPr>
          <w:b/>
          <w:bCs/>
        </w:rPr>
        <w:t xml:space="preserve">SuperBroadband</w:t>
      </w:r>
      <w:r>
        <w:t xml:space="preserve"> </w:t>
      </w:r>
      <w:r>
        <w:t xml:space="preserve">product — a business-focused offering that pairs 5G fixed wireless with Starlink satellite as a redundancy/backup layer, explicitly positioning T-Mobile's SpaceX relationship as complementary rather than competitive.</w:t>
      </w:r>
    </w:p>
    <w:p>
      <w:pPr>
        <w:pStyle w:val="BodyText"/>
      </w:pPr>
      <w:r>
        <w:rPr>
          <w:b/>
          <w:bCs/>
        </w:rPr>
        <w:t xml:space="preserve">4. UScellular integration and cost synergies.</w:t>
      </w:r>
      <w:r>
        <w:t xml:space="preserve"> </w:t>
      </w:r>
      <w:r>
        <w:t xml:space="preserve">Management reiterated a</w:t>
      </w:r>
      <w:r>
        <w:t xml:space="preserve"> </w:t>
      </w:r>
      <m:oMath>
        <m:r>
          <m:t>2.7</m:t>
        </m:r>
        <m:r>
          <m:t>b</m:t>
        </m:r>
        <m:r>
          <m:t>i</m:t>
        </m:r>
        <m:r>
          <m:t>l</m:t>
        </m:r>
        <m:r>
          <m:t>l</m:t>
        </m:r>
        <m:r>
          <m:t>i</m:t>
        </m:r>
        <m:r>
          <m:t>o</m:t>
        </m:r>
        <m:r>
          <m:t>n</m:t>
        </m:r>
        <m:r>
          <m:t>c</m:t>
        </m:r>
        <m:r>
          <m:t>o</m:t>
        </m:r>
        <m:r>
          <m:t>s</m:t>
        </m:r>
        <m:r>
          <m:t>t</m:t>
        </m:r>
        <m:r>
          <m:rPr>
            <m:sty m:val="p"/>
          </m:rPr>
          <m:t>−</m:t>
        </m:r>
        <m:r>
          <m:t>s</m:t>
        </m:r>
        <m:r>
          <m:t>y</m:t>
        </m:r>
        <m:r>
          <m:t>n</m:t>
        </m:r>
        <m:r>
          <m:t>e</m:t>
        </m:r>
        <m:r>
          <m:t>r</m:t>
        </m:r>
        <m:r>
          <m:t>g</m:t>
        </m:r>
        <m:r>
          <m:t>y</m:t>
        </m:r>
        <m:r>
          <m:t>t</m:t>
        </m:r>
        <m:r>
          <m:t>a</m:t>
        </m:r>
        <m:r>
          <m:t>r</m:t>
        </m:r>
        <m:r>
          <m:t>g</m:t>
        </m:r>
        <m:r>
          <m:t>e</m:t>
        </m:r>
        <m:r>
          <m:t>t</m:t>
        </m:r>
        <m:r>
          <m:t>e</m:t>
        </m:r>
        <m:r>
          <m:t>x</m:t>
        </m:r>
        <m:r>
          <m:t>i</m:t>
        </m:r>
        <m:r>
          <m:t>t</m:t>
        </m:r>
        <m:r>
          <m:t>i</m:t>
        </m:r>
        <m:r>
          <m:t>n</m:t>
        </m:r>
        <m:r>
          <m:t>g</m:t>
        </m:r>
        <m:r>
          <m:t>2027</m:t>
        </m:r>
        <m:r>
          <m:rPr>
            <m:sty m:val="p"/>
          </m:rPr>
          <m:t>(</m:t>
        </m:r>
        <m:r>
          <m:t>w</m:t>
        </m:r>
        <m:r>
          <m:t>i</m:t>
        </m:r>
        <m:r>
          <m:t>t</m:t>
        </m:r>
        <m:r>
          <m:t>h</m:t>
        </m:r>
        <m:r>
          <m:t>m</m:t>
        </m:r>
        <m:r>
          <m:t>o</m:t>
        </m:r>
        <m:r>
          <m:t>r</m:t>
        </m:r>
        <m:r>
          <m:t>e</m:t>
        </m:r>
        <m:r>
          <m:t>r</m:t>
        </m:r>
        <m:r>
          <m:t>u</m:t>
        </m:r>
        <m:r>
          <m:t>n</m:t>
        </m:r>
        <m:r>
          <m:t>w</m:t>
        </m:r>
        <m:r>
          <m:t>a</m:t>
        </m:r>
        <m:r>
          <m:t>y</m:t>
        </m:r>
        <m:r>
          <m:t>i</m:t>
        </m:r>
        <m:r>
          <m:t>n</m:t>
        </m:r>
        <m:r>
          <m:t>t</m:t>
        </m:r>
        <m:r>
          <m:t>o</m:t>
        </m:r>
        <m:r>
          <m:t>2028</m:t>
        </m:r>
        <m:r>
          <m:rPr>
            <m:sty m:val="p"/>
          </m:rPr>
          <m:t>)</m:t>
        </m:r>
        <m:r>
          <m:t>a</m:t>
        </m:r>
        <m:r>
          <m:t>n</m:t>
        </m:r>
        <m:r>
          <m:t>d</m:t>
        </m:r>
        <m:r>
          <m:t>s</m:t>
        </m:r>
        <m:r>
          <m:t>a</m:t>
        </m:r>
        <m:r>
          <m:t>i</m:t>
        </m:r>
        <m:r>
          <m:t>d</m:t>
        </m:r>
        <m:r>
          <m:t>t</m:t>
        </m:r>
        <m:r>
          <m:t>h</m:t>
        </m:r>
        <m:r>
          <m:t>e</m:t>
        </m:r>
        <m:r>
          <m:t>c</m:t>
        </m:r>
        <m:r>
          <m:t>u</m:t>
        </m:r>
        <m:r>
          <m:t>s</m:t>
        </m:r>
        <m:r>
          <m:t>t</m:t>
        </m:r>
        <m:r>
          <m:t>o</m:t>
        </m:r>
        <m:r>
          <m:t>m</m:t>
        </m:r>
        <m:r>
          <m:t>e</m:t>
        </m:r>
        <m:r>
          <m:t>r</m:t>
        </m:r>
        <m:r>
          <m:t>m</m:t>
        </m:r>
        <m:r>
          <m:t>i</m:t>
        </m:r>
        <m:r>
          <m:t>g</m:t>
        </m:r>
        <m:r>
          <m:t>r</m:t>
        </m:r>
        <m:r>
          <m:t>a</m:t>
        </m:r>
        <m:r>
          <m:t>t</m:t>
        </m:r>
        <m:r>
          <m:t>i</m:t>
        </m:r>
        <m:r>
          <m:t>o</m:t>
        </m:r>
        <m:r>
          <m:t>n</m:t>
        </m:r>
        <m:r>
          <m:t>o</m:t>
        </m:r>
        <m:r>
          <m:t>f</m:t>
        </m:r>
        <m:r>
          <m:t>f</m:t>
        </m:r>
        <m:r>
          <m:t>t</m:t>
        </m:r>
        <m:r>
          <m:t>h</m:t>
        </m:r>
        <m:r>
          <m:t>e</m:t>
        </m:r>
        <m:r>
          <m:t>U</m:t>
        </m:r>
        <m:r>
          <m:t>S</m:t>
        </m:r>
        <m:r>
          <m:t>c</m:t>
        </m:r>
        <m:r>
          <m:t>e</m:t>
        </m:r>
        <m:r>
          <m:t>l</m:t>
        </m:r>
        <m:r>
          <m:t>l</m:t>
        </m:r>
        <m:r>
          <m:t>u</m:t>
        </m:r>
        <m:r>
          <m:t>l</m:t>
        </m:r>
        <m:r>
          <m:t>a</m:t>
        </m:r>
        <m:r>
          <m:t>r</m:t>
        </m:r>
        <m:r>
          <m:t>b</m:t>
        </m:r>
        <m:r>
          <m:t>r</m:t>
        </m:r>
        <m:r>
          <m:t>a</m:t>
        </m:r>
        <m:r>
          <m:t>n</m:t>
        </m:r>
        <m:r>
          <m:t>d</m:t>
        </m:r>
        <m:r>
          <m:t>i</m:t>
        </m:r>
        <m:r>
          <m:t>s</m:t>
        </m:r>
        <m:r>
          <m:t>n</m:t>
        </m:r>
        <m:r>
          <m:t>o</m:t>
        </m:r>
        <m:r>
          <m:t>w</m:t>
        </m:r>
        <m:r>
          <m:t>i</m:t>
        </m:r>
        <m:r>
          <m:t>n</m:t>
        </m:r>
        <m:r>
          <m:t>i</m:t>
        </m:r>
        <m:r>
          <m:t>t</m:t>
        </m:r>
        <m:r>
          <m:t>s</m:t>
        </m:r>
        <m:r>
          <m:t>f</m:t>
        </m:r>
        <m:r>
          <m:t>i</m:t>
        </m:r>
        <m:r>
          <m:t>n</m:t>
        </m:r>
        <m:r>
          <m:t>a</m:t>
        </m:r>
        <m:r>
          <m:t>l</m:t>
        </m:r>
        <m:r>
          <m:t>s</m:t>
        </m:r>
        <m:r>
          <m:t>t</m:t>
        </m:r>
        <m:r>
          <m:t>a</m:t>
        </m:r>
        <m:r>
          <m:t>g</m:t>
        </m:r>
        <m:r>
          <m:t>e</m:t>
        </m:r>
        <m:r>
          <m:t>s</m:t>
        </m:r>
        <m:r>
          <m:rPr>
            <m:sty m:val="p"/>
          </m:rPr>
          <m:t>,</m:t>
        </m:r>
        <m:r>
          <m:t>e</m:t>
        </m:r>
        <m:r>
          <m:t>x</m:t>
        </m:r>
        <m:r>
          <m:t>p</m:t>
        </m:r>
        <m:r>
          <m:t>e</m:t>
        </m:r>
        <m:r>
          <m:t>c</m:t>
        </m:r>
        <m:r>
          <m:t>t</m:t>
        </m:r>
        <m:r>
          <m:t>e</m:t>
        </m:r>
        <m:r>
          <m:t>d</m:t>
        </m:r>
        <m:r>
          <m:t>t</m:t>
        </m:r>
        <m:r>
          <m:t>o</m:t>
        </m:r>
        <m:r>
          <m:t>b</m:t>
        </m:r>
        <m:r>
          <m:t>e</m:t>
        </m:r>
        <m:r>
          <m:t>s</m:t>
        </m:r>
        <m:r>
          <m:t>u</m:t>
        </m:r>
        <m:r>
          <m:t>b</m:t>
        </m:r>
        <m:r>
          <m:t>s</m:t>
        </m:r>
        <m:r>
          <m:t>t</m:t>
        </m:r>
        <m:r>
          <m:t>a</m:t>
        </m:r>
        <m:r>
          <m:t>n</m:t>
        </m:r>
        <m:r>
          <m:t>t</m:t>
        </m:r>
        <m:r>
          <m:t>i</m:t>
        </m:r>
        <m:r>
          <m:t>a</m:t>
        </m:r>
        <m:r>
          <m:t>l</m:t>
        </m:r>
        <m:r>
          <m:t>l</m:t>
        </m:r>
        <m:r>
          <m:t>y</m:t>
        </m:r>
        <m:r>
          <m:t>w</m:t>
        </m:r>
        <m:r>
          <m:t>r</m:t>
        </m:r>
        <m:r>
          <m:t>a</m:t>
        </m:r>
        <m:r>
          <m:t>p</m:t>
        </m:r>
        <m:r>
          <m:t>p</m:t>
        </m:r>
        <m:r>
          <m:t>e</m:t>
        </m:r>
        <m:r>
          <m:t>d</m:t>
        </m:r>
        <m:r>
          <m:t>b</m:t>
        </m:r>
        <m:r>
          <m:t>y</m:t>
        </m:r>
        <m:r>
          <m:t>y</m:t>
        </m:r>
        <m:r>
          <m:t>e</m:t>
        </m:r>
        <m:r>
          <m:t>a</m:t>
        </m:r>
        <m:r>
          <m:t>r</m:t>
        </m:r>
        <m:r>
          <m:rPr>
            <m:sty m:val="p"/>
          </m:rPr>
          <m:t>−</m:t>
        </m:r>
        <m:r>
          <m:t>e</m:t>
        </m:r>
        <m:r>
          <m:t>n</m:t>
        </m:r>
        <m:r>
          <m:t>d</m:t>
        </m:r>
        <m:r>
          <m:rPr>
            <m:sty m:val="p"/>
          </m:rPr>
          <m:t>.</m:t>
        </m:r>
        <m:r>
          <m:t>A</m:t>
        </m:r>
        <m:r>
          <m:t>n</m:t>
        </m:r>
        <m:r>
          <m:t>y</m:t>
        </m:r>
        <m:r>
          <m:t>u</m:t>
        </m:r>
        <m:r>
          <m:t>p</m:t>
        </m:r>
        <m:r>
          <m:t>d</m:t>
        </m:r>
        <m:r>
          <m:t>a</m:t>
        </m:r>
        <m:r>
          <m:t>t</m:t>
        </m:r>
        <m:r>
          <m:t>e</m:t>
        </m:r>
        <m:r>
          <m:t>o</m:t>
        </m:r>
        <m:r>
          <m:t>n</m:t>
        </m:r>
        <m:r>
          <m:t>p</m:t>
        </m:r>
        <m:r>
          <m:t>a</m:t>
        </m:r>
        <m:r>
          <m:t>c</m:t>
        </m:r>
        <m:r>
          <m:t>i</m:t>
        </m:r>
        <m:r>
          <m:t>n</m:t>
        </m:r>
        <m:r>
          <m:t>g</m:t>
        </m:r>
        <m:r>
          <m:t>h</m:t>
        </m:r>
        <m:r>
          <m:t>e</m:t>
        </m:r>
        <m:r>
          <m:t>r</m:t>
        </m:r>
        <m:r>
          <m:t>e</m:t>
        </m:r>
        <m:r>
          <m:t>m</m:t>
        </m:r>
        <m:r>
          <m:t>a</m:t>
        </m:r>
        <m:r>
          <m:t>t</m:t>
        </m:r>
        <m:r>
          <m:t>t</m:t>
        </m:r>
        <m:r>
          <m:t>e</m:t>
        </m:r>
        <m:r>
          <m:t>r</m:t>
        </m:r>
        <m:r>
          <m:t>s</m:t>
        </m:r>
        <m:r>
          <m:t>f</m:t>
        </m:r>
        <m:r>
          <m:t>o</m:t>
        </m:r>
        <m:r>
          <m:t>r</m:t>
        </m:r>
        <m:r>
          <m:t>t</m:t>
        </m:r>
        <m:r>
          <m:t>h</m:t>
        </m:r>
        <m:r>
          <m:t>e</m:t>
        </m:r>
        <m:r>
          <m:t>E</m:t>
        </m:r>
        <m:r>
          <m:t>B</m:t>
        </m:r>
        <m:r>
          <m:t>I</m:t>
        </m:r>
        <m:r>
          <m:t>T</m:t>
        </m:r>
        <m:r>
          <m:t>D</m:t>
        </m:r>
        <m:r>
          <m:t>A</m:t>
        </m:r>
        <m:r>
          <m:t>m</m:t>
        </m:r>
        <m:r>
          <m:t>a</m:t>
        </m:r>
        <m:r>
          <m:t>r</m:t>
        </m:r>
        <m:r>
          <m:t>g</m:t>
        </m:r>
        <m:r>
          <m:t>i</m:t>
        </m:r>
        <m:r>
          <m:t>n</m:t>
        </m:r>
        <m:r>
          <m:t>t</m:t>
        </m:r>
        <m:r>
          <m:t>r</m:t>
        </m:r>
        <m:r>
          <m:t>a</m:t>
        </m:r>
        <m:r>
          <m:t>j</m:t>
        </m:r>
        <m:r>
          <m:t>e</m:t>
        </m:r>
        <m:r>
          <m:t>c</m:t>
        </m:r>
        <m:r>
          <m:t>t</m:t>
        </m:r>
        <m:r>
          <m:t>o</m:t>
        </m:r>
        <m:r>
          <m:t>r</m:t>
        </m:r>
        <m:r>
          <m:t>y</m:t>
        </m:r>
        <m:r>
          <m:t>e</m:t>
        </m:r>
        <m:r>
          <m:t>m</m:t>
        </m:r>
        <m:r>
          <m:t>b</m:t>
        </m:r>
        <m:r>
          <m:t>e</m:t>
        </m:r>
        <m:r>
          <m:t>d</m:t>
        </m:r>
        <m:r>
          <m:t>d</m:t>
        </m:r>
        <m:r>
          <m:t>e</m:t>
        </m:r>
        <m:r>
          <m:t>d</m:t>
        </m:r>
        <m:r>
          <m:t>i</m:t>
        </m:r>
        <m:r>
          <m:t>n</m:t>
        </m:r>
        <m:r>
          <m:t>2027</m:t>
        </m:r>
        <m:r>
          <m:t>g</m:t>
        </m:r>
        <m:r>
          <m:t>u</m:t>
        </m:r>
        <m:r>
          <m:t>i</m:t>
        </m:r>
        <m:r>
          <m:t>d</m:t>
        </m:r>
        <m:r>
          <m:t>a</m:t>
        </m:r>
        <m:r>
          <m:t>n</m:t>
        </m:r>
        <m:r>
          <m:t>c</m:t>
        </m:r>
        <m:r>
          <m:t>e</m:t>
        </m:r>
        <m:r>
          <m:rPr>
            <m:sty m:val="p"/>
          </m:rPr>
          <m:t>(</m:t>
        </m:r>
      </m:oMath>
      <w:r>
        <w:t xml:space="preserve">40–$41B Core Adjusted EBITDA, per the February Capital Markets Day update).</w:t>
      </w:r>
    </w:p>
    <w:p>
      <w:pPr>
        <w:pStyle w:val="BodyText"/>
      </w:pPr>
      <w:r>
        <w:rPr>
          <w:b/>
          <w:bCs/>
        </w:rPr>
        <w:t xml:space="preserve">5. Capital returns pace.</w:t>
      </w:r>
      <w:r>
        <w:t xml:space="preserve"> </w:t>
      </w:r>
      <w:r>
        <w:t xml:space="preserve">With the authorization raised to $18.2 billion for 2026 and $4.9 billion already repurchased in Q1, investors will watch the cadence of buybacks, especially given management's comments that decisions are driven by perceived gap between share price and intrinsic value — relevant given the stock's pullback since Q1.</w:t>
      </w:r>
    </w:p>
    <w:p>
      <w:pPr>
        <w:pStyle w:val="BodyText"/>
      </w:pPr>
      <w:r>
        <w:rPr>
          <w:b/>
          <w:bCs/>
        </w:rPr>
        <w:t xml:space="preserve">6. Leadership transition commentary.</w:t>
      </w:r>
      <w:r>
        <w:t xml:space="preserve"> </w:t>
      </w:r>
      <w:r>
        <w:t xml:space="preserve">Since the last call, T-Mobile announced Chris Sambar (a 20-year AT&amp;T veteran, most recently COO of Public Storage) as incoming Chief Enterprise Officer, elevated André Almeida to Chief Marketing, Brand &amp; Broadband Officer, and disclosed that Chief Business &amp; Product Officer Mike Katz is stepping away (remaining as an advisor through December 2026). Expect analysts to probe strategic continuity, particularly around enterprise, T-Ads, and "Physical AI" initiatives Sambar is being brought in to scale.</w:t>
      </w:r>
    </w:p>
    <w:p>
      <w:pPr>
        <w:pStyle w:val="BodyText"/>
      </w:pPr>
      <w:r>
        <w:rPr>
          <w:b/>
          <w:bCs/>
        </w:rPr>
        <w:t xml:space="preserve">7. The Deutsche Telekom merger question — again.</w:t>
      </w:r>
      <w:r>
        <w:t xml:space="preserve"> </w:t>
      </w:r>
      <w:r>
        <w:t xml:space="preserve">Even if management again declines to comment, expect at least one analyst to press for any incremental color, given the potential scale of the transaction and governance implications for minority shareholders.</w:t>
      </w:r>
    </w:p>
    <w:bookmarkEnd w:id="13"/>
    <w:bookmarkStart w:id="14" w:name="bottom-line"/>
    <w:p>
      <w:pPr>
        <w:pStyle w:val="Heading2"/>
      </w:pPr>
      <w:r>
        <w:t xml:space="preserve">Bottom Line</w:t>
      </w:r>
    </w:p>
    <w:p>
      <w:pPr>
        <w:pStyle w:val="FirstParagraph"/>
      </w:pPr>
      <w:r>
        <w:t xml:space="preserve">Going into this print, T-Mobile remains the fastest-growing, highest-margin story among the major U.S. carriers, and it just raised full-year guidance three months ago. The setup for Q2 is one where headline growth should look solid (~9% service revenue growth, ~10% Core EBITDA growth per guidance) but the ARPA comp is deliberately tougher, and the market's attention may be as much on the DT merger overhang and Starlink competitive narrative as on the print itself. A clean beat-and-hold quarter — with churn behaving and broadband/fiber momentum intact — would reinforce the bull case that the stock's depressed multiple is disconnected from fundamentals; any wobble in account growth, churn, or ARPA would feed the bear narrative that competitive intensity (fresh off AT&amp;T's strong beat) is starting to bite.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2026-07-23T00:07:50Z</dcterms:created>
  <dcterms:modified xsi:type="dcterms:W3CDTF">2026-07-23T00:07:50Z</dcterms:modified>
</cp:coreProperties>
</file>

<file path=docProps/custom.xml><?xml version="1.0" encoding="utf-8"?>
<Properties xmlns="http://schemas.openxmlformats.org/officeDocument/2006/custom-properties" xmlns:vt="http://schemas.openxmlformats.org/officeDocument/2006/docPropsVTypes"/>
</file>