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us-earnings-predictions--2026-07-23"/>
    <w:p>
      <w:pPr>
        <w:pStyle w:val="Heading1"/>
      </w:pPr>
      <w:r>
        <w:t xml:space="preserve">TMUS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net account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~280K vs. cons 262K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~$9.50B vs. cons $9.43B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~$4.68B vs. cons $4.55B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Postpaid net account additions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~1.05M vs. cons 1.03M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~$37.50B vs. cons $37.50B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~$18.60B vs. cons $18.50B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Postpaid ARPA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~2.75% vs. cons 2.75%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TMUS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+2.3% (FADE)</w:t>
            </w:r>
          </w:p>
        </w:tc>
        <w:tc>
          <w:tcPr/>
          <w:p>
            <w:pPr>
              <w:pStyle w:val="Compact"/>
            </w:pPr>
            <w:r>
              <w:t xml:space="preserve">The initial customer-growth and cash-flow beats should support a rerating, but FY2026 EBITDA guidance near ~</w:t>
            </w:r>
            <m:oMath>
              <m:r>
                <m:t>37.50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37.50B implies limited out-period estimate revisions; strong peer subscriber results also temper the share-gain signal,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2026-07-23T00:05:51Z</dcterms:created>
  <dcterms:modified xsi:type="dcterms:W3CDTF">2026-07-23T00:05:51Z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