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82f33e506f1f6da2ce4d189d4f7c6e1d06d2e2"/>
    <w:p>
      <w:pPr>
        <w:pStyle w:val="Heading1"/>
      </w:pPr>
      <w:r>
        <w:t xml:space="preserve">T-Mobile US (TMUS) — Q2 2026 Earnings Preview</w:t>
      </w:r>
    </w:p>
    <w:p>
      <w:pPr>
        <w:pStyle w:val="FirstParagraph"/>
      </w:pPr>
      <w:r>
        <w:rPr>
          <w:b/>
          <w:bCs/>
        </w:rPr>
        <w:t xml:space="preserve">Report date:</w:t>
      </w:r>
      <w:r>
        <w:t xml:space="preserve"> </w:t>
      </w:r>
      <w:r>
        <w:t xml:space="preserve">July 23, 2026</w:t>
      </w:r>
      <w:r>
        <w:br/>
      </w:r>
      <w:r>
        <w:rPr>
          <w:b/>
          <w:bCs/>
        </w:rPr>
        <w:t xml:space="preserve">Event:</w:t>
      </w:r>
      <w:r>
        <w:t xml:space="preserve"> </w:t>
      </w:r>
      <w:r>
        <w:t xml:space="preserve">2026 Q2 Earnings Call</w:t>
      </w:r>
      <w:r>
        <w:br/>
      </w:r>
      <w:r>
        <w:rPr>
          <w:b/>
          <w:bCs/>
        </w:rPr>
        <w:t xml:space="preserve">Share price:</w:t>
      </w:r>
      <w:r>
        <w:t xml:space="preserve"> </w:t>
      </w:r>
      <w:r>
        <w:t xml:space="preserve">Approximately</w:t>
      </w:r>
      <w:r>
        <w:t xml:space="preserve"> </w:t>
      </w:r>
      <w:r>
        <w:rPr>
          <w:b/>
          <w:bCs/>
        </w:rPr>
        <w:t xml:space="preserve">$191</w:t>
      </w:r>
      <w:r>
        <w:t xml:space="preserve"> </w:t>
      </w:r>
      <w:r>
        <w:t xml:space="preserve">as of July 22, down about</w:t>
      </w:r>
      <w:r>
        <w:t xml:space="preserve"> </w:t>
      </w:r>
      <w:r>
        <w:rPr>
          <w:b/>
          <w:bCs/>
        </w:rPr>
        <w:t xml:space="preserve">6% year to date</w:t>
      </w:r>
      <w:r>
        <w:t xml:space="preserve"> </w:t>
      </w:r>
      <w:r>
        <w:t xml:space="preserve">and</w:t>
      </w:r>
      <w:r>
        <w:t xml:space="preserve"> </w:t>
      </w:r>
      <w:r>
        <w:rPr>
          <w:b/>
          <w:bCs/>
        </w:rPr>
        <w:t xml:space="preserve">14% below its February high</w:t>
      </w:r>
      <w:r>
        <w:t xml:space="preserve">.</w:t>
      </w:r>
    </w:p>
    <w:bookmarkStart w:id="9" w:name="executive-view"/>
    <w:p>
      <w:pPr>
        <w:pStyle w:val="Heading2"/>
      </w:pPr>
      <w:r>
        <w:t xml:space="preserve">Executive view</w:t>
      </w:r>
    </w:p>
    <w:p>
      <w:pPr>
        <w:pStyle w:val="FirstParagraph"/>
      </w:pPr>
      <w:r>
        <w:t xml:space="preserve">The setup is</w:t>
      </w:r>
      <w:r>
        <w:t xml:space="preserve"> </w:t>
      </w:r>
      <w:r>
        <w:rPr>
          <w:b/>
          <w:bCs/>
        </w:rPr>
        <w:t xml:space="preserve">constructive but not easy</w:t>
      </w:r>
      <w:r>
        <w:t xml:space="preserve">. T-Mobile enters the report with strong operating momentum, a relatively achievable full-year outlook and a lower valuation following concerns about competition from Starlink and other wireless carriers. At the same time, AT&amp;T’s better-than-expected Q2 subscriber results raised the competitive bar immediately before TMUS reports.</w:t>
      </w:r>
    </w:p>
    <w:p>
      <w:pPr>
        <w:pStyle w:val="BodyText"/>
      </w:pPr>
      <w:r>
        <w:t xml:space="preserve">The most important question is not whether T-Mobile can meet its approximately</w:t>
      </w:r>
      <w:r>
        <w:t xml:space="preserve"> </w:t>
      </w:r>
      <w:r>
        <w:rPr>
          <w:b/>
          <w:bCs/>
        </w:rPr>
        <w:t xml:space="preserve">$9.4 billion Q2 Core Adjusted EBITDA target</w:t>
      </w:r>
      <w:r>
        <w:t xml:space="preserve">. It is whether customer growth, churn and ARPA demonstrate that the company can continue taking share</w:t>
      </w:r>
      <w:r>
        <w:t xml:space="preserve"> </w:t>
      </w:r>
      <w:r>
        <w:rPr>
          <w:b/>
          <w:bCs/>
        </w:rPr>
        <w:t xml:space="preserve">without sacrificing economics</w:t>
      </w:r>
      <w:r>
        <w:t xml:space="preserve">. Management’s tone on the second half and any further guidance increase will probably drive the stock more than reported EPS.</w:t>
      </w:r>
    </w:p>
    <w:bookmarkEnd w:id="9"/>
    <w:bookmarkStart w:id="11" w:name="current-expectations"/>
    <w:p>
      <w:pPr>
        <w:pStyle w:val="Heading2"/>
      </w:pPr>
      <w:r>
        <w:t xml:space="preserve">Current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market expectation</w:t>
            </w:r>
          </w:p>
        </w:tc>
        <w:tc>
          <w:tcPr/>
          <w:p>
            <w:pPr>
              <w:pStyle w:val="Compact"/>
              <w:jc w:val="right"/>
            </w:pPr>
            <w:r>
              <w:t xml:space="preserve">Relevant company commentary</w:t>
            </w:r>
          </w:p>
        </w:tc>
      </w:tr>
      <w:tr>
        <w:tc>
          <w:tcPr/>
          <w:p>
            <w:pPr>
              <w:pStyle w:val="Compact"/>
            </w:pPr>
            <w:r>
              <w:t xml:space="preserve">Total revenue</w:t>
            </w:r>
          </w:p>
        </w:tc>
        <w:tc>
          <w:tcPr/>
          <w:p>
            <w:pPr>
              <w:pStyle w:val="Compact"/>
              <w:jc w:val="right"/>
            </w:pPr>
            <w:r>
              <w:rPr>
                <w:b/>
                <w:bCs/>
              </w:rPr>
              <w:t xml:space="preserve">~$23.0B</w:t>
            </w:r>
          </w:p>
        </w:tc>
        <w:tc>
          <w:tcPr/>
          <w:p>
            <w:pPr>
              <w:pStyle w:val="Compact"/>
              <w:jc w:val="right"/>
            </w:pPr>
            <w:r>
              <w:t xml:space="preserve">—</w:t>
            </w:r>
          </w:p>
        </w:tc>
      </w:tr>
      <w:tr>
        <w:tc>
          <w:tcPr/>
          <w:p>
            <w:pPr>
              <w:pStyle w:val="Compact"/>
            </w:pPr>
            <w:r>
              <w:t xml:space="preserve">Service revenue</w:t>
            </w:r>
          </w:p>
        </w:tc>
        <w:tc>
          <w:tcPr/>
          <w:p>
            <w:pPr>
              <w:pStyle w:val="Compact"/>
              <w:jc w:val="right"/>
            </w:pPr>
            <w:r>
              <w:t xml:space="preserve">—</w:t>
            </w:r>
          </w:p>
        </w:tc>
        <w:tc>
          <w:tcPr/>
          <w:p>
            <w:pPr>
              <w:pStyle w:val="Compact"/>
              <w:jc w:val="right"/>
            </w:pPr>
            <w:r>
              <w:rPr>
                <w:b/>
                <w:bCs/>
              </w:rPr>
              <w:t xml:space="preserve">~$19.0B</w:t>
            </w:r>
            <w:r>
              <w:t xml:space="preserve">, +9% YoY</w:t>
            </w:r>
          </w:p>
        </w:tc>
      </w:tr>
      <w:tr>
        <w:tc>
          <w:tcPr/>
          <w:p>
            <w:pPr>
              <w:pStyle w:val="Compact"/>
            </w:pPr>
            <w:r>
              <w:t xml:space="preserve">EPS</w:t>
            </w:r>
          </w:p>
        </w:tc>
        <w:tc>
          <w:tcPr/>
          <w:p>
            <w:pPr>
              <w:pStyle w:val="Compact"/>
              <w:jc w:val="right"/>
            </w:pPr>
            <w:r>
              <w:rPr>
                <w:b/>
                <w:bCs/>
              </w:rPr>
              <w:t xml:space="preserve">~</w:t>
            </w:r>
            <m:oMath>
              <m:r>
                <m:t>2.5</m:t>
              </m:r>
              <m:r>
                <m:rPr>
                  <m:sty m:val="p"/>
                </m:rPr>
                <m:t>–</m:t>
              </m:r>
            </m:oMath>
            <w:r>
              <w:rPr>
                <w:b/>
                <w:bCs/>
              </w:rPr>
              <w:t xml:space="preserve">2.6</w:t>
            </w:r>
          </w:p>
        </w:tc>
        <w:tc>
          <w:tcPr/>
          <w:p>
            <w:pPr>
              <w:pStyle w:val="Compact"/>
              <w:jc w:val="right"/>
            </w:pPr>
            <w:r>
              <w:t xml:space="preserve">GAAP EPS remains affected by integration and restructuring items</w:t>
            </w:r>
          </w:p>
        </w:tc>
      </w:tr>
      <w:tr>
        <w:tc>
          <w:tcPr/>
          <w:p>
            <w:pPr>
              <w:pStyle w:val="Compact"/>
            </w:pPr>
            <w:r>
              <w:t xml:space="preserve">Core Adjusted EBITDA</w:t>
            </w:r>
          </w:p>
        </w:tc>
        <w:tc>
          <w:tcPr/>
          <w:p>
            <w:pPr>
              <w:pStyle w:val="Compact"/>
              <w:jc w:val="right"/>
            </w:pPr>
            <w:r>
              <w:rPr>
                <w:b/>
                <w:bCs/>
              </w:rPr>
              <w:t xml:space="preserve">~$9.43B</w:t>
            </w:r>
          </w:p>
        </w:tc>
        <w:tc>
          <w:tcPr/>
          <w:p>
            <w:pPr>
              <w:pStyle w:val="Compact"/>
              <w:jc w:val="right"/>
            </w:pPr>
            <w:r>
              <w:rPr>
                <w:b/>
                <w:bCs/>
              </w:rPr>
              <w:t xml:space="preserve">~$9.4B</w:t>
            </w:r>
            <w:r>
              <w:t xml:space="preserve">, +10% YoY</w:t>
            </w:r>
          </w:p>
        </w:tc>
      </w:tr>
      <w:tr>
        <w:tc>
          <w:tcPr/>
          <w:p>
            <w:pPr>
              <w:pStyle w:val="Compact"/>
            </w:pPr>
            <w:r>
              <w:t xml:space="preserve">Adjusted free cash flow</w:t>
            </w:r>
          </w:p>
        </w:tc>
        <w:tc>
          <w:tcPr/>
          <w:p>
            <w:pPr>
              <w:pStyle w:val="Compact"/>
              <w:jc w:val="right"/>
            </w:pPr>
            <w:r>
              <w:rPr>
                <w:b/>
                <w:bCs/>
              </w:rPr>
              <w:t xml:space="preserve">~$4.55B</w:t>
            </w:r>
          </w:p>
        </w:tc>
        <w:tc>
          <w:tcPr/>
          <w:p>
            <w:pPr>
              <w:pStyle w:val="Compact"/>
              <w:jc w:val="right"/>
            </w:pPr>
            <w:r>
              <w:t xml:space="preserve">FY26 guide:</w:t>
            </w:r>
            <w:r>
              <w:t xml:space="preserve"> </w:t>
            </w:r>
            <m:oMath>
              <m:r>
                <m:t>18.1</m:t>
              </m:r>
              <m:r>
                <m:rPr>
                  <m:sty m:val="p"/>
                </m:rPr>
                <m:t>–</m:t>
              </m:r>
            </m:oMath>
            <w:r>
              <w:rPr>
                <w:b/>
                <w:bCs/>
              </w:rPr>
              <w:t xml:space="preserve">18.7B</w:t>
            </w:r>
          </w:p>
        </w:tc>
      </w:tr>
      <w:tr>
        <w:tc>
          <w:tcPr/>
          <w:p>
            <w:pPr>
              <w:pStyle w:val="Compact"/>
            </w:pPr>
            <w:r>
              <w:t xml:space="preserve">Postpaid net account additions</w:t>
            </w:r>
          </w:p>
        </w:tc>
        <w:tc>
          <w:tcPr/>
          <w:p>
            <w:pPr>
              <w:pStyle w:val="Compact"/>
              <w:jc w:val="right"/>
            </w:pPr>
            <w:r>
              <w:rPr>
                <w:b/>
                <w:bCs/>
              </w:rPr>
              <w:t xml:space="preserve">~262K</w:t>
            </w:r>
          </w:p>
        </w:tc>
        <w:tc>
          <w:tcPr/>
          <w:p>
            <w:pPr>
              <w:pStyle w:val="Compact"/>
              <w:jc w:val="right"/>
            </w:pPr>
            <w:r>
              <w:t xml:space="preserve">FY26 guide:</w:t>
            </w:r>
            <w:r>
              <w:t xml:space="preserve"> </w:t>
            </w:r>
            <w:r>
              <w:rPr>
                <w:b/>
                <w:bCs/>
              </w:rPr>
              <w:t xml:space="preserve">950K–1.05M</w:t>
            </w:r>
          </w:p>
        </w:tc>
      </w:tr>
      <w:tr>
        <w:tc>
          <w:tcPr/>
          <w:p>
            <w:pPr>
              <w:pStyle w:val="Compact"/>
            </w:pPr>
            <w:r>
              <w:t xml:space="preserve">Postpaid ARPA growth</w:t>
            </w:r>
          </w:p>
        </w:tc>
        <w:tc>
          <w:tcPr/>
          <w:p>
            <w:pPr>
              <w:pStyle w:val="Compact"/>
              <w:jc w:val="right"/>
            </w:pPr>
            <w:r>
              <w:t xml:space="preserve">Approximately</w:t>
            </w:r>
            <w:r>
              <w:t xml:space="preserve"> </w:t>
            </w:r>
            <w:r>
              <w:rPr>
                <w:b/>
                <w:bCs/>
              </w:rPr>
              <w:t xml:space="preserve">2% YoY</w:t>
            </w:r>
          </w:p>
        </w:tc>
        <w:tc>
          <w:tcPr/>
          <w:p>
            <w:pPr>
              <w:pStyle w:val="Compact"/>
              <w:jc w:val="right"/>
            </w:pPr>
            <w:r>
              <w:t xml:space="preserve">FY26 guide:</w:t>
            </w:r>
            <w:r>
              <w:t xml:space="preserve"> </w:t>
            </w:r>
            <w:r>
              <w:rPr>
                <w:b/>
                <w:bCs/>
              </w:rPr>
              <w:t xml:space="preserve">2.5%–3.0%</w:t>
            </w:r>
          </w:p>
        </w:tc>
      </w:tr>
    </w:tbl>
    <w:p>
      <w:pPr>
        <w:pStyle w:val="BodyText"/>
      </w:pPr>
      <w:r>
        <w:t xml:space="preserve">Management explicitly guided Q2 service revenue to approximately $19 billion and Core Adjusted EBITDA to approximately $9.4 billion. It also said Q2 ARPA growth would likely slow to around 2% because of a difficult comparison with last year’s rate-plan changes and dilution from UScellular, Metronet and Lumos. Management expects ARPA growth to accelerate again in the second half. (</w:t>
      </w:r>
      <w:hyperlink r:id="rId10">
        <w:r>
          <w:rPr>
            <w:rStyle w:val="Hyperlink"/>
          </w:rPr>
          <w:t xml:space="preserve">s29.q4cdn.com</w:t>
        </w:r>
      </w:hyperlink>
      <w:r>
        <w:t xml:space="preserve">)</w:t>
      </w:r>
    </w:p>
    <w:bookmarkEnd w:id="11"/>
    <w:bookmarkStart w:id="20" w:name="the-five-issues-that-matter-most"/>
    <w:p>
      <w:pPr>
        <w:pStyle w:val="Heading2"/>
      </w:pPr>
      <w:r>
        <w:t xml:space="preserve">The five issues that matter most</w:t>
      </w:r>
    </w:p>
    <w:bookmarkStart w:id="13" w:name="Xda8fcdcfe899dd23b61351af8b8f0c8e62c60db"/>
    <w:p>
      <w:pPr>
        <w:pStyle w:val="Heading3"/>
      </w:pPr>
      <w:r>
        <w:t xml:space="preserve">1. Postpaid account growth is the key operating test</w:t>
      </w:r>
    </w:p>
    <w:p>
      <w:pPr>
        <w:pStyle w:val="FirstParagraph"/>
      </w:pPr>
      <w:r>
        <w:t xml:space="preserve">T-Mobile has shifted its reporting emphasis from individual subscribers to</w:t>
      </w:r>
      <w:r>
        <w:t xml:space="preserve"> </w:t>
      </w:r>
      <w:r>
        <w:rPr>
          <w:b/>
          <w:bCs/>
        </w:rPr>
        <w:t xml:space="preserve">postpaid accounts</w:t>
      </w:r>
      <w:r>
        <w:t xml:space="preserve">, arguing that accounts better represent household and business relationships. Q1 produced 217,000 net account additions, 1.04% account churn and 3.9% ARPA growth. (</w:t>
      </w:r>
      <w:hyperlink r:id="rId12">
        <w:r>
          <w:rPr>
            <w:rStyle w:val="Hyperlink"/>
          </w:rPr>
          <w:t xml:space="preserve">s29.q4cdn.com</w:t>
        </w:r>
      </w:hyperlink>
      <w:r>
        <w:t xml:space="preserve">)</w:t>
      </w:r>
    </w:p>
    <w:p>
      <w:pPr>
        <w:pStyle w:val="BodyText"/>
      </w:pPr>
      <w:r>
        <w:t xml:space="preserve">The approximately 262,000-account consensus would bring first-half additions to roughly</w:t>
      </w:r>
      <w:r>
        <w:t xml:space="preserve"> </w:t>
      </w:r>
      <w:r>
        <w:rPr>
          <w:b/>
          <w:bCs/>
        </w:rPr>
        <w:t xml:space="preserve">479,000</w:t>
      </w:r>
      <w:r>
        <w:t xml:space="preserve">, leaving only</w:t>
      </w:r>
      <w:r>
        <w:t xml:space="preserve"> </w:t>
      </w:r>
      <w:r>
        <w:rPr>
          <w:b/>
          <w:bCs/>
        </w:rPr>
        <w:t xml:space="preserve">471,000–571,000</w:t>
      </w:r>
      <w:r>
        <w:t xml:space="preserve"> </w:t>
      </w:r>
      <w:r>
        <w:t xml:space="preserve">additions required in the second half to achieve the current 950,000–1.05 million annual target.</w:t>
      </w:r>
    </w:p>
    <w:p>
      <w:pPr>
        <w:pStyle w:val="BodyText"/>
      </w:pPr>
      <w:r>
        <w:t xml:space="preserve">That makes the existing guidance look reasonably conservative:</w:t>
      </w:r>
    </w:p>
    <w:p>
      <w:pPr>
        <w:pStyle w:val="Compact"/>
        <w:numPr>
          <w:ilvl w:val="0"/>
          <w:numId w:val="1001"/>
        </w:numPr>
      </w:pPr>
      <w:r>
        <w:rPr>
          <w:b/>
          <w:bCs/>
        </w:rPr>
        <w:t xml:space="preserve">Above 275,000 accounts:</w:t>
      </w:r>
      <w:r>
        <w:t xml:space="preserve"> </w:t>
      </w:r>
      <w:r>
        <w:t xml:space="preserve">strengthens the case for another guidance increase.</w:t>
      </w:r>
    </w:p>
    <w:p>
      <w:pPr>
        <w:pStyle w:val="Compact"/>
        <w:numPr>
          <w:ilvl w:val="0"/>
          <w:numId w:val="1001"/>
        </w:numPr>
      </w:pPr>
      <w:r>
        <w:rPr>
          <w:b/>
          <w:bCs/>
        </w:rPr>
        <w:t xml:space="preserve">250,000–270,000:</w:t>
      </w:r>
      <w:r>
        <w:t xml:space="preserve"> </w:t>
      </w:r>
      <w:r>
        <w:t xml:space="preserve">solid and broadly consistent with the annual plan.</w:t>
      </w:r>
    </w:p>
    <w:p>
      <w:pPr>
        <w:pStyle w:val="Compact"/>
        <w:numPr>
          <w:ilvl w:val="0"/>
          <w:numId w:val="1001"/>
        </w:numPr>
      </w:pPr>
      <w:r>
        <w:rPr>
          <w:b/>
          <w:bCs/>
        </w:rPr>
        <w:t xml:space="preserve">Below 230,000:</w:t>
      </w:r>
      <w:r>
        <w:t xml:space="preserve"> </w:t>
      </w:r>
      <w:r>
        <w:t xml:space="preserve">would raise questions about competition, promotions and the quality of Q1 momentum.</w:t>
      </w:r>
    </w:p>
    <w:p>
      <w:pPr>
        <w:pStyle w:val="FirstParagraph"/>
      </w:pPr>
      <w:r>
        <w:t xml:space="preserve">Account churn deserves equal attention. Broadband-only and newer accounts naturally have higher churn than mature multiline wireless accounts, so some pressure is structural. Still, a material increase from Q1’s 1.04% would weaken the quality of the net-add result.</w:t>
      </w:r>
    </w:p>
    <w:bookmarkEnd w:id="13"/>
    <w:bookmarkStart w:id="14" w:name="Xa39f1600686093c68264e0f46d16322de302ecf"/>
    <w:p>
      <w:pPr>
        <w:pStyle w:val="Heading3"/>
      </w:pPr>
      <w:r>
        <w:t xml:space="preserve">2. Around 2% ARPA growth should not be mistaken for deterioration</w:t>
      </w:r>
    </w:p>
    <w:p>
      <w:pPr>
        <w:pStyle w:val="FirstParagraph"/>
      </w:pPr>
      <w:r>
        <w:t xml:space="preserve">ARPA is likely to decelerate sharply from Q1’s 3.9%, but this has been well telegraphed. Q2 2025 benefited from rate-plan optimization, while this year’s comparison includes lower-ARPA UScellular and fiber accounts. Management described approximately 2% Q2 growth as a temporary comparison issue and maintained its</w:t>
      </w:r>
      <w:r>
        <w:t xml:space="preserve"> </w:t>
      </w:r>
      <w:r>
        <w:rPr>
          <w:b/>
          <w:bCs/>
        </w:rPr>
        <w:t xml:space="preserve">2.5%–3.0% full-year expectation</w:t>
      </w:r>
      <w:r>
        <w:t xml:space="preserve">. (</w:t>
      </w:r>
      <w:hyperlink r:id="rId10">
        <w:r>
          <w:rPr>
            <w:rStyle w:val="Hyperlink"/>
          </w:rPr>
          <w:t xml:space="preserve">s29.q4cdn.com</w:t>
        </w:r>
      </w:hyperlink>
      <w:r>
        <w:t xml:space="preserve">)</w:t>
      </w:r>
    </w:p>
    <w:p>
      <w:pPr>
        <w:pStyle w:val="BodyText"/>
      </w:pPr>
      <w:r>
        <w:t xml:space="preserve">The better indicators will be:</w:t>
      </w:r>
    </w:p>
    <w:p>
      <w:pPr>
        <w:pStyle w:val="Compact"/>
        <w:numPr>
          <w:ilvl w:val="0"/>
          <w:numId w:val="1002"/>
        </w:numPr>
      </w:pPr>
      <w:r>
        <w:t xml:space="preserve">Whether management reaffirms second-half reacceleration.</w:t>
      </w:r>
    </w:p>
    <w:p>
      <w:pPr>
        <w:pStyle w:val="Compact"/>
        <w:numPr>
          <w:ilvl w:val="0"/>
          <w:numId w:val="1002"/>
        </w:numPr>
      </w:pPr>
      <w:r>
        <w:t xml:space="preserve">Continued premium-plan adoption.</w:t>
      </w:r>
    </w:p>
    <w:p>
      <w:pPr>
        <w:pStyle w:val="Compact"/>
        <w:numPr>
          <w:ilvl w:val="0"/>
          <w:numId w:val="1002"/>
        </w:numPr>
      </w:pPr>
      <w:r>
        <w:t xml:space="preserve">Growth in lines and products per account.</w:t>
      </w:r>
    </w:p>
    <w:p>
      <w:pPr>
        <w:pStyle w:val="Compact"/>
        <w:numPr>
          <w:ilvl w:val="0"/>
          <w:numId w:val="1002"/>
        </w:numPr>
      </w:pPr>
      <w:r>
        <w:t xml:space="preserve">Evidence that pricing and upselling are not causing higher churn.</w:t>
      </w:r>
    </w:p>
    <w:p>
      <w:pPr>
        <w:pStyle w:val="Compact"/>
        <w:numPr>
          <w:ilvl w:val="0"/>
          <w:numId w:val="1002"/>
        </w:numPr>
      </w:pPr>
      <w:r>
        <w:t xml:space="preserve">Whether management still sees underlying organic ARPA growth above the reported rate.</w:t>
      </w:r>
    </w:p>
    <w:p>
      <w:pPr>
        <w:pStyle w:val="FirstParagraph"/>
      </w:pPr>
      <w:r>
        <w:t xml:space="preserve">An ARPA result near 2% accompanied by healthy account additions is acceptable. An ARPA miss combined with weaker additions would suggest less pricing power or a more promotional market.</w:t>
      </w:r>
    </w:p>
    <w:bookmarkEnd w:id="14"/>
    <w:bookmarkStart w:id="15" w:name="X127805a00664a765588fe97d79314e50dacc5b3"/>
    <w:p>
      <w:pPr>
        <w:pStyle w:val="Heading3"/>
      </w:pPr>
      <w:r>
        <w:t xml:space="preserve">3. EBITDA and free cash flow must validate the subscriber story</w:t>
      </w:r>
    </w:p>
    <w:p>
      <w:pPr>
        <w:pStyle w:val="FirstParagraph"/>
      </w:pPr>
      <w:r>
        <w:t xml:space="preserve">The Street expects approximately</w:t>
      </w:r>
      <w:r>
        <w:t xml:space="preserve"> </w:t>
      </w:r>
      <w:r>
        <w:rPr>
          <w:b/>
          <w:bCs/>
        </w:rPr>
        <w:t xml:space="preserve">$9.43 billion of Core Adjusted EBITDA</w:t>
      </w:r>
      <w:r>
        <w:t xml:space="preserve">, essentially matching management’s $9.4 billion target. That means merely meeting consensus may not be enough for a large positive reaction.</w:t>
      </w:r>
    </w:p>
    <w:p>
      <w:pPr>
        <w:pStyle w:val="BodyText"/>
      </w:pPr>
      <w:r>
        <w:t xml:space="preserve">Q1 Core Adjusted EBITDA was $9.24 billion and adjusted free cash flow was</w:t>
      </w:r>
      <w:r>
        <w:t xml:space="preserve"> </w:t>
      </w:r>
      <m:oMath>
        <m:r>
          <m:t>4.60</m:t>
        </m:r>
        <m:r>
          <m:t>b</m:t>
        </m:r>
        <m:r>
          <m:t>i</m:t>
        </m:r>
        <m:r>
          <m:t>l</m:t>
        </m:r>
        <m:r>
          <m:t>l</m:t>
        </m:r>
        <m:r>
          <m:t>i</m:t>
        </m:r>
        <m:r>
          <m:t>o</m:t>
        </m:r>
        <m:r>
          <m:t>n</m:t>
        </m:r>
        <m:r>
          <m:rPr>
            <m:sty m:val="p"/>
          </m:rPr>
          <m:t>.</m:t>
        </m:r>
        <m:r>
          <m:t>A</m:t>
        </m:r>
        <m:r>
          <m:t>c</m:t>
        </m:r>
        <m:r>
          <m:t>o</m:t>
        </m:r>
        <m:r>
          <m:t>n</m:t>
        </m:r>
        <m:r>
          <m:t>s</m:t>
        </m:r>
        <m:r>
          <m:t>e</m:t>
        </m:r>
        <m:r>
          <m:t>n</m:t>
        </m:r>
        <m:r>
          <m:t>s</m:t>
        </m:r>
        <m:r>
          <m:t>u</m:t>
        </m:r>
        <m:r>
          <m:t>s</m:t>
        </m:r>
        <m:r>
          <m:rPr>
            <m:sty m:val="p"/>
          </m:rPr>
          <m:t>−</m:t>
        </m:r>
        <m:r>
          <m:t>l</m:t>
        </m:r>
        <m:r>
          <m:t>i</m:t>
        </m:r>
        <m:r>
          <m:t>k</m:t>
        </m:r>
        <m:r>
          <m:t>e</m:t>
        </m:r>
        <m:r>
          <m:t>Q</m:t>
        </m:r>
        <m:r>
          <m:t>2</m:t>
        </m:r>
        <m:r>
          <m:t>w</m:t>
        </m:r>
        <m:r>
          <m:t>o</m:t>
        </m:r>
        <m:r>
          <m:t>u</m:t>
        </m:r>
        <m:r>
          <m:t>l</m:t>
        </m:r>
        <m:r>
          <m:t>d</m:t>
        </m:r>
        <m:r>
          <m:t>p</m:t>
        </m:r>
        <m:r>
          <m:t>u</m:t>
        </m:r>
        <m:r>
          <m:t>t</m:t>
        </m:r>
        <m:r>
          <m:t>f</m:t>
        </m:r>
        <m:r>
          <m:t>i</m:t>
        </m:r>
        <m:r>
          <m:t>r</m:t>
        </m:r>
        <m:r>
          <m:t>s</m:t>
        </m:r>
        <m:r>
          <m:t>t</m:t>
        </m:r>
        <m:r>
          <m:rPr>
            <m:sty m:val="p"/>
          </m:rPr>
          <m:t>−</m:t>
        </m:r>
        <m:r>
          <m:t>h</m:t>
        </m:r>
        <m:r>
          <m:t>a</m:t>
        </m:r>
        <m:r>
          <m:t>l</m:t>
        </m:r>
        <m:r>
          <m:t>f</m:t>
        </m:r>
        <m:r>
          <m:t>E</m:t>
        </m:r>
        <m:r>
          <m:t>B</m:t>
        </m:r>
        <m:r>
          <m:t>I</m:t>
        </m:r>
        <m:r>
          <m:t>T</m:t>
        </m:r>
        <m:r>
          <m:t>D</m:t>
        </m:r>
        <m:r>
          <m:t>A</m:t>
        </m:r>
        <m:r>
          <m:t>n</m:t>
        </m:r>
        <m:r>
          <m:t>e</m:t>
        </m:r>
        <m:r>
          <m:t>a</m:t>
        </m:r>
        <m:r>
          <m:t>r</m:t>
        </m:r>
        <m:r>
          <m:rPr>
            <m:sty m:val="p"/>
          </m:rPr>
          <m:t>*</m:t>
        </m:r>
        <m:r>
          <m:rPr>
            <m:sty m:val="p"/>
          </m:rPr>
          <m:t>*</m:t>
        </m:r>
      </m:oMath>
      <w:r>
        <w:t xml:space="preserve">18.67 billion** and adjusted free cash flow near</w:t>
      </w:r>
      <w:r>
        <w:t xml:space="preserve"> </w:t>
      </w:r>
      <w:r>
        <w:rPr>
          <w:b/>
          <w:bCs/>
        </w:rPr>
        <w:t xml:space="preserve">$9.15 billion</w:t>
      </w:r>
      <w:r>
        <w:t xml:space="preserve">—approximately halfway toward the respective full-year midpoints. (</w:t>
      </w:r>
      <w:hyperlink r:id="rId12">
        <w:r>
          <w:rPr>
            <w:rStyle w:val="Hyperlink"/>
          </w:rPr>
          <w:t xml:space="preserve">s29.q4cdn.com</w:t>
        </w:r>
      </w:hyperlink>
      <w:r>
        <w:t xml:space="preserve">)</w:t>
      </w:r>
    </w:p>
    <w:p>
      <w:pPr>
        <w:pStyle w:val="BodyText"/>
      </w:pPr>
      <w:r>
        <w:t xml:space="preserve">Investors should look through GAAP EPS volatility caused by:</w:t>
      </w:r>
    </w:p>
    <w:p>
      <w:pPr>
        <w:pStyle w:val="Compact"/>
        <w:numPr>
          <w:ilvl w:val="0"/>
          <w:numId w:val="1003"/>
        </w:numPr>
      </w:pPr>
      <w:r>
        <w:t xml:space="preserve">UScellular integration expenses and accelerated depreciation.</w:t>
      </w:r>
    </w:p>
    <w:p>
      <w:pPr>
        <w:pStyle w:val="Compact"/>
        <w:numPr>
          <w:ilvl w:val="0"/>
          <w:numId w:val="1003"/>
        </w:numPr>
      </w:pPr>
      <w:r>
        <w:t xml:space="preserve">Network restructuring costs.</w:t>
      </w:r>
    </w:p>
    <w:p>
      <w:pPr>
        <w:pStyle w:val="Compact"/>
        <w:numPr>
          <w:ilvl w:val="0"/>
          <w:numId w:val="1003"/>
        </w:numPr>
      </w:pPr>
      <w:r>
        <w:t xml:space="preserve">Workforce transformation charges.</w:t>
      </w:r>
    </w:p>
    <w:p>
      <w:pPr>
        <w:pStyle w:val="Compact"/>
        <w:numPr>
          <w:ilvl w:val="0"/>
          <w:numId w:val="1003"/>
        </w:numPr>
      </w:pPr>
      <w:r>
        <w:t xml:space="preserve">Losses associated with fiber joint ventures.</w:t>
      </w:r>
    </w:p>
    <w:p>
      <w:pPr>
        <w:pStyle w:val="FirstParagraph"/>
      </w:pPr>
      <w:r>
        <w:t xml:space="preserve">The higher-quality result would combine strong account growth with stable customer-acquisition economics, EBITDA at or above $9.4 billion and free cash flow of at least roughly $4.5 billion.</w:t>
      </w:r>
    </w:p>
    <w:bookmarkEnd w:id="15"/>
    <w:bookmarkStart w:id="17" w:name="X58b2e5d22eab614c945d1d9a85b6ed8206aac6a"/>
    <w:p>
      <w:pPr>
        <w:pStyle w:val="Heading3"/>
      </w:pPr>
      <w:r>
        <w:t xml:space="preserve">4. Competition is stronger than the stock’s recent narrative suggests</w:t>
      </w:r>
    </w:p>
    <w:p>
      <w:pPr>
        <w:pStyle w:val="FirstParagraph"/>
      </w:pPr>
      <w:r>
        <w:t xml:space="preserve">AT&amp;T reported 432,000 postpaid phone net additions, 0.86% postpaid phone churn, $12.3 billion of adjusted EBITDA and $4.7 billion of free cash flow for Q2. It also posted 367,000 fiber and 279,000 fixed-wireless additions. (</w:t>
      </w:r>
      <w:hyperlink r:id="rId16">
        <w:r>
          <w:rPr>
            <w:rStyle w:val="Hyperlink"/>
          </w:rPr>
          <w:t xml:space="preserve">about.att.com</w:t>
        </w:r>
      </w:hyperlink>
      <w:r>
        <w:t xml:space="preserve">)</w:t>
      </w:r>
    </w:p>
    <w:p>
      <w:pPr>
        <w:pStyle w:val="BodyText"/>
      </w:pPr>
      <w:r>
        <w:t xml:space="preserve">AT&amp;T’s result does not map directly onto T-Mobile’s account-based reporting, but it demonstrates:</w:t>
      </w:r>
    </w:p>
    <w:p>
      <w:pPr>
        <w:pStyle w:val="Compact"/>
        <w:numPr>
          <w:ilvl w:val="0"/>
          <w:numId w:val="1004"/>
        </w:numPr>
      </w:pPr>
      <w:r>
        <w:t xml:space="preserve">Overall wireless switching activity remains healthy.</w:t>
      </w:r>
    </w:p>
    <w:p>
      <w:pPr>
        <w:pStyle w:val="Compact"/>
        <w:numPr>
          <w:ilvl w:val="0"/>
          <w:numId w:val="1004"/>
        </w:numPr>
      </w:pPr>
      <w:r>
        <w:t xml:space="preserve">Competitors are gaining traction with bundled wireless and broadband offers.</w:t>
      </w:r>
    </w:p>
    <w:p>
      <w:pPr>
        <w:pStyle w:val="Compact"/>
        <w:numPr>
          <w:ilvl w:val="0"/>
          <w:numId w:val="1004"/>
        </w:numPr>
      </w:pPr>
      <w:r>
        <w:t xml:space="preserve">T-Mobile will need to demonstrate that its network and value differentiation still translate into superior economic growth.</w:t>
      </w:r>
    </w:p>
    <w:p>
      <w:pPr>
        <w:pStyle w:val="FirstParagraph"/>
      </w:pPr>
      <w:r>
        <w:t xml:space="preserve">A strong industry quarter could be positive if the market is expanding. It becomes negative if T-Mobile’s additions or churn materially underperform while peers accelerate.</w:t>
      </w:r>
    </w:p>
    <w:bookmarkEnd w:id="17"/>
    <w:bookmarkStart w:id="19" w:name="Xa1ba90eaf9f793b2a2ddf5011babfd635873666"/>
    <w:p>
      <w:pPr>
        <w:pStyle w:val="Heading3"/>
      </w:pPr>
      <w:r>
        <w:t xml:space="preserve">5. Starlink fears are now embedded in the valuation</w:t>
      </w:r>
    </w:p>
    <w:p>
      <w:pPr>
        <w:pStyle w:val="FirstParagraph"/>
      </w:pPr>
      <w:r>
        <w:t xml:space="preserve">T-Mobile shares have been pressured by concerns that satellite services could eventually compete in both wireless and broadband. Analysts defending the stock argue that T-Mobile has less stranded-asset risk than cable operators because its fiber strategy is capital-light and fixed wireless is deployed only where network capacity is available. Morgan Stanley recently retained TMUS as its preferred telecom name but reduced its price target while incorporating lower long-term broadband estimates. (</w:t>
      </w:r>
      <w:hyperlink r:id="rId18">
        <w:r>
          <w:rPr>
            <w:rStyle w:val="Hyperlink"/>
          </w:rPr>
          <w:t xml:space="preserve">investing.com</w:t>
        </w:r>
      </w:hyperlink>
      <w:r>
        <w:t xml:space="preserve">)</w:t>
      </w:r>
    </w:p>
    <w:p>
      <w:pPr>
        <w:pStyle w:val="BodyText"/>
      </w:pPr>
      <w:r>
        <w:t xml:space="preserve">Management will probably reiterate its distinction between:</w:t>
      </w:r>
    </w:p>
    <w:p>
      <w:pPr>
        <w:pStyle w:val="Compact"/>
        <w:numPr>
          <w:ilvl w:val="0"/>
          <w:numId w:val="1005"/>
        </w:numPr>
      </w:pPr>
      <w:r>
        <w:rPr>
          <w:b/>
          <w:bCs/>
        </w:rPr>
        <w:t xml:space="preserve">Direct-to-cell:</w:t>
      </w:r>
      <w:r>
        <w:t xml:space="preserve"> </w:t>
      </w:r>
      <w:r>
        <w:t xml:space="preserve">A complementary extension of terrestrial wireless coverage.</w:t>
      </w:r>
    </w:p>
    <w:p>
      <w:pPr>
        <w:pStyle w:val="Compact"/>
        <w:numPr>
          <w:ilvl w:val="0"/>
          <w:numId w:val="1005"/>
        </w:numPr>
      </w:pPr>
      <w:r>
        <w:rPr>
          <w:b/>
          <w:bCs/>
        </w:rPr>
        <w:t xml:space="preserve">Starlink broadband:</w:t>
      </w:r>
      <w:r>
        <w:t xml:space="preserve"> </w:t>
      </w:r>
      <w:r>
        <w:t xml:space="preserve">A potential competitor, particularly in rural and underserved markets.</w:t>
      </w:r>
    </w:p>
    <w:p>
      <w:pPr>
        <w:pStyle w:val="FirstParagraph"/>
      </w:pPr>
      <w:r>
        <w:t xml:space="preserve">The market will want more than reassurance. Useful disclosures would include fixed-wireless additions, capacity trends, speeds, churn and any change to the company’s confidence in reaching</w:t>
      </w:r>
      <w:r>
        <w:t xml:space="preserve"> </w:t>
      </w:r>
      <w:r>
        <w:rPr>
          <w:b/>
          <w:bCs/>
        </w:rPr>
        <w:t xml:space="preserve">15 million fixed-wireless customers by 2030</w:t>
      </w:r>
      <w:r>
        <w:t xml:space="preserve">.</w:t>
      </w:r>
    </w:p>
    <w:bookmarkEnd w:id="19"/>
    <w:bookmarkEnd w:id="20"/>
    <w:bookmarkStart w:id="21" w:name="X438aa968a17f165e6abc0fe04d738d1dfe342ee"/>
    <w:p>
      <w:pPr>
        <w:pStyle w:val="Heading2"/>
      </w:pPr>
      <w:r>
        <w:t xml:space="preserve">Full-year guidance: what would constitute a real raise?</w:t>
      </w:r>
    </w:p>
    <w:p>
      <w:pPr>
        <w:pStyle w:val="FirstParagraph"/>
      </w:pPr>
      <w:r>
        <w:t xml:space="preserve">Current 2026 guidance is:</w:t>
      </w:r>
    </w:p>
    <w:p>
      <w:pPr>
        <w:pStyle w:val="Compact"/>
        <w:numPr>
          <w:ilvl w:val="0"/>
          <w:numId w:val="1006"/>
        </w:numPr>
      </w:pPr>
      <w:r>
        <w:rPr>
          <w:b/>
          <w:bCs/>
        </w:rPr>
        <w:t xml:space="preserve">Postpaid net account additions:</w:t>
      </w:r>
      <w:r>
        <w:t xml:space="preserve"> </w:t>
      </w:r>
      <w:r>
        <w:t xml:space="preserve">950,000–1.05 million</w:t>
      </w:r>
    </w:p>
    <w:p>
      <w:pPr>
        <w:pStyle w:val="Compact"/>
        <w:numPr>
          <w:ilvl w:val="0"/>
          <w:numId w:val="1006"/>
        </w:numPr>
      </w:pPr>
      <w:r>
        <w:rPr>
          <w:b/>
          <w:bCs/>
        </w:rPr>
        <w:t xml:space="preserve">Core Adjusted EBITDA:</w:t>
      </w:r>
      <w:r>
        <w:t xml:space="preserve"> </w:t>
      </w:r>
      <m:oMath>
        <m:r>
          <m:t>37.1</m:t>
        </m:r>
        <m:r>
          <m:rPr>
            <m:sty m:val="p"/>
          </m:rPr>
          <m:t>–</m:t>
        </m:r>
      </m:oMath>
      <w:r>
        <w:t xml:space="preserve">37.5 billion</w:t>
      </w:r>
    </w:p>
    <w:p>
      <w:pPr>
        <w:pStyle w:val="Compact"/>
        <w:numPr>
          <w:ilvl w:val="0"/>
          <w:numId w:val="1006"/>
        </w:numPr>
      </w:pPr>
      <w:r>
        <w:rPr>
          <w:b/>
          <w:bCs/>
        </w:rPr>
        <w:t xml:space="preserve">Adjusted free cash flow:</w:t>
      </w:r>
      <w:r>
        <w:t xml:space="preserve"> </w:t>
      </w:r>
      <m:oMath>
        <m:r>
          <m:t>18.1</m:t>
        </m:r>
        <m:r>
          <m:rPr>
            <m:sty m:val="p"/>
          </m:rPr>
          <m:t>–</m:t>
        </m:r>
      </m:oMath>
      <w:r>
        <w:t xml:space="preserve">18.7 billion</w:t>
      </w:r>
    </w:p>
    <w:p>
      <w:pPr>
        <w:pStyle w:val="Compact"/>
        <w:numPr>
          <w:ilvl w:val="0"/>
          <w:numId w:val="1006"/>
        </w:numPr>
      </w:pPr>
      <w:r>
        <w:rPr>
          <w:b/>
          <w:bCs/>
        </w:rPr>
        <w:t xml:space="preserve">Capital expenditures:</w:t>
      </w:r>
      <w:r>
        <w:t xml:space="preserve"> </w:t>
      </w:r>
      <w:r>
        <w:t xml:space="preserve">Approximately $10 billion</w:t>
      </w:r>
    </w:p>
    <w:p>
      <w:pPr>
        <w:pStyle w:val="Compact"/>
        <w:numPr>
          <w:ilvl w:val="0"/>
          <w:numId w:val="1006"/>
        </w:numPr>
      </w:pPr>
      <w:r>
        <w:rPr>
          <w:b/>
          <w:bCs/>
        </w:rPr>
        <w:t xml:space="preserve">Service revenue:</w:t>
      </w:r>
      <w:r>
        <w:t xml:space="preserve"> </w:t>
      </w:r>
      <w:r>
        <w:t xml:space="preserve">Approximately $77 billion</w:t>
      </w:r>
    </w:p>
    <w:p>
      <w:pPr>
        <w:pStyle w:val="Compact"/>
        <w:numPr>
          <w:ilvl w:val="0"/>
          <w:numId w:val="1006"/>
        </w:numPr>
      </w:pPr>
      <w:r>
        <w:rPr>
          <w:b/>
          <w:bCs/>
        </w:rPr>
        <w:t xml:space="preserve">Postpaid ARPA growth:</w:t>
      </w:r>
      <w:r>
        <w:t xml:space="preserve"> </w:t>
      </w:r>
      <w:r>
        <w:t xml:space="preserve">2.5%–3.0%</w:t>
      </w:r>
    </w:p>
    <w:p>
      <w:pPr>
        <w:pStyle w:val="FirstParagraph"/>
      </w:pPr>
      <w:r>
        <w:t xml:space="preserve">T-Mobile already raised several of these ranges after Q1. (</w:t>
      </w:r>
      <w:hyperlink r:id="rId12">
        <w:r>
          <w:rPr>
            <w:rStyle w:val="Hyperlink"/>
          </w:rPr>
          <w:t xml:space="preserve">s29.q4cdn.com</w:t>
        </w:r>
      </w:hyperlink>
      <w:r>
        <w:t xml:space="preserve">)</w:t>
      </w:r>
    </w:p>
    <w:p>
      <w:pPr>
        <w:pStyle w:val="BodyText"/>
      </w:pPr>
      <w:r>
        <w:t xml:space="preserve">A small increase only to the lower end of EBITDA or free-cash-flow guidance would be modestly positive but not thesis-changing. A more meaningful bullish signal would be:</w:t>
      </w:r>
    </w:p>
    <w:p>
      <w:pPr>
        <w:pStyle w:val="Compact"/>
        <w:numPr>
          <w:ilvl w:val="0"/>
          <w:numId w:val="1007"/>
        </w:numPr>
      </w:pPr>
      <w:r>
        <w:t xml:space="preserve">Raising account guidance above 1.05 million.</w:t>
      </w:r>
    </w:p>
    <w:p>
      <w:pPr>
        <w:pStyle w:val="Compact"/>
        <w:numPr>
          <w:ilvl w:val="0"/>
          <w:numId w:val="1007"/>
        </w:numPr>
      </w:pPr>
      <w:r>
        <w:t xml:space="preserve">Raising the upper end of EBITDA or free cash flow.</w:t>
      </w:r>
    </w:p>
    <w:p>
      <w:pPr>
        <w:pStyle w:val="Compact"/>
        <w:numPr>
          <w:ilvl w:val="0"/>
          <w:numId w:val="1007"/>
        </w:numPr>
      </w:pPr>
      <w:r>
        <w:t xml:space="preserve">Reaffirming 2.5%–3.0% ARPA despite the Q2 slowdown.</w:t>
      </w:r>
    </w:p>
    <w:p>
      <w:pPr>
        <w:pStyle w:val="Compact"/>
        <w:numPr>
          <w:ilvl w:val="0"/>
          <w:numId w:val="1007"/>
        </w:numPr>
      </w:pPr>
      <w:r>
        <w:t xml:space="preserve">Indicating that UScellular integration or digital-cost savings are arriving ahead of schedule.</w:t>
      </w:r>
    </w:p>
    <w:p>
      <w:pPr>
        <w:pStyle w:val="FirstParagraph"/>
      </w:pPr>
      <w:r>
        <w:t xml:space="preserve">Conversely, leaving guidance unchanged is not necessarily negative given the Q1 raise. It would become disappointing if paired with weaker Q2 customer metrics or cautious commentary about the second half.</w:t>
      </w:r>
    </w:p>
    <w:bookmarkEnd w:id="21"/>
    <w:bookmarkStart w:id="26" w:name="other-items-to-monitor"/>
    <w:p>
      <w:pPr>
        <w:pStyle w:val="Heading2"/>
      </w:pPr>
      <w:r>
        <w:t xml:space="preserve">Other items to monitor</w:t>
      </w:r>
    </w:p>
    <w:bookmarkStart w:id="22" w:name="uscellular-integration"/>
    <w:p>
      <w:pPr>
        <w:pStyle w:val="Heading3"/>
      </w:pPr>
      <w:r>
        <w:t xml:space="preserve">UScellular integration</w:t>
      </w:r>
    </w:p>
    <w:p>
      <w:pPr>
        <w:pStyle w:val="FirstParagraph"/>
      </w:pPr>
      <w:r>
        <w:t xml:space="preserve">The customer migration was expected to proceed through spring, summer and fall, with substantial completion during 2026. The report should provide evidence that the migration is not creating abnormal churn and that cost synergies remain on schedule.</w:t>
      </w:r>
    </w:p>
    <w:bookmarkEnd w:id="22"/>
    <w:bookmarkStart w:id="23" w:name="fixed-wireless-and-fiber"/>
    <w:p>
      <w:pPr>
        <w:pStyle w:val="Heading3"/>
      </w:pPr>
      <w:r>
        <w:t xml:space="preserve">Fixed wireless and fiber</w:t>
      </w:r>
    </w:p>
    <w:p>
      <w:pPr>
        <w:pStyle w:val="FirstParagraph"/>
      </w:pPr>
      <w:r>
        <w:t xml:space="preserve">T-Mobile added more than 500,000 total broadband accounts in Q1. Investors should separate strong fixed-wireless economics from the lower-ARPA and initially loss-making effects of recently acquired fiber customers. Fiber growth is strategically useful, but the market will want confirmation that the joint-venture structure is generating acceptable returns rather than diluting free cash flow.</w:t>
      </w:r>
    </w:p>
    <w:bookmarkEnd w:id="23"/>
    <w:bookmarkStart w:id="24" w:name="cost-savings"/>
    <w:p>
      <w:pPr>
        <w:pStyle w:val="Heading3"/>
      </w:pPr>
      <w:r>
        <w:t xml:space="preserve">Cost savings</w:t>
      </w:r>
    </w:p>
    <w:p>
      <w:pPr>
        <w:pStyle w:val="FirstParagraph"/>
      </w:pPr>
      <w:r>
        <w:t xml:space="preserve">Management has targeted approximately $1.3 billion of incremental savings in 2026 and $2.7 billion by 2027 from digitalization, AI, retail changes and network optimization. Evidence of operating leverage is important because equipment subsidies, integration activity and fiber wholesale costs can obscure underlying margin progress.</w:t>
      </w:r>
    </w:p>
    <w:bookmarkEnd w:id="24"/>
    <w:bookmarkStart w:id="25" w:name="capital-returns"/>
    <w:p>
      <w:pPr>
        <w:pStyle w:val="Heading3"/>
      </w:pPr>
      <w:r>
        <w:t xml:space="preserve">Capital returns</w:t>
      </w:r>
    </w:p>
    <w:p>
      <w:pPr>
        <w:pStyle w:val="FirstParagraph"/>
      </w:pPr>
      <w:r>
        <w:t xml:space="preserve">T-Mobile raised its 2026 stockholder-return authorization to as much as</w:t>
      </w:r>
      <w:r>
        <w:t xml:space="preserve"> </w:t>
      </w:r>
      <w:r>
        <w:rPr>
          <w:b/>
          <w:bCs/>
        </w:rPr>
        <w:t xml:space="preserve">$18.2 billion</w:t>
      </w:r>
      <w:r>
        <w:t xml:space="preserve"> </w:t>
      </w:r>
      <w:r>
        <w:t xml:space="preserve">after returning $6 billion in Q1. With the stock now below the average price paid for Q1 repurchases—approximately $210 per share—investors will look for evidence that buyback activity accelerated during the recent weakness. (</w:t>
      </w:r>
      <w:hyperlink r:id="rId12">
        <w:r>
          <w:rPr>
            <w:rStyle w:val="Hyperlink"/>
          </w:rPr>
          <w:t xml:space="preserve">s29.q4cdn.com</w:t>
        </w:r>
      </w:hyperlink>
      <w:r>
        <w:t xml:space="preserve">)</w:t>
      </w:r>
    </w:p>
    <w:bookmarkEnd w:id="25"/>
    <w:bookmarkEnd w:id="26"/>
    <w:bookmarkStart w:id="30" w:name="potential-stock-reaction-framework"/>
    <w:p>
      <w:pPr>
        <w:pStyle w:val="Heading2"/>
      </w:pPr>
      <w:r>
        <w:t xml:space="preserve">Potential stock-reaction framework</w:t>
      </w:r>
    </w:p>
    <w:bookmarkStart w:id="27" w:name="bull-case"/>
    <w:p>
      <w:pPr>
        <w:pStyle w:val="Heading3"/>
      </w:pPr>
      <w:r>
        <w:t xml:space="preserve">Bull case</w:t>
      </w:r>
    </w:p>
    <w:p>
      <w:pPr>
        <w:pStyle w:val="Compact"/>
        <w:numPr>
          <w:ilvl w:val="0"/>
          <w:numId w:val="1008"/>
        </w:numPr>
      </w:pPr>
      <w:r>
        <w:t xml:space="preserve">Postpaid account additions above approximately 275,000.</w:t>
      </w:r>
    </w:p>
    <w:p>
      <w:pPr>
        <w:pStyle w:val="Compact"/>
        <w:numPr>
          <w:ilvl w:val="0"/>
          <w:numId w:val="1008"/>
        </w:numPr>
      </w:pPr>
      <w:r>
        <w:t xml:space="preserve">Account churn stable or improving from 1.04%.</w:t>
      </w:r>
    </w:p>
    <w:p>
      <w:pPr>
        <w:pStyle w:val="Compact"/>
        <w:numPr>
          <w:ilvl w:val="0"/>
          <w:numId w:val="1008"/>
        </w:numPr>
      </w:pPr>
      <w:r>
        <w:t xml:space="preserve">ARPA growth around or above 2%.</w:t>
      </w:r>
    </w:p>
    <w:p>
      <w:pPr>
        <w:pStyle w:val="Compact"/>
        <w:numPr>
          <w:ilvl w:val="0"/>
          <w:numId w:val="1008"/>
        </w:numPr>
      </w:pPr>
      <w:r>
        <w:t xml:space="preserve">Core Adjusted EBITDA above $9.45 billion.</w:t>
      </w:r>
    </w:p>
    <w:p>
      <w:pPr>
        <w:pStyle w:val="Compact"/>
        <w:numPr>
          <w:ilvl w:val="0"/>
          <w:numId w:val="1008"/>
        </w:numPr>
      </w:pPr>
      <w:r>
        <w:t xml:space="preserve">Adjusted free cash flow above $4.6 billion.</w:t>
      </w:r>
    </w:p>
    <w:p>
      <w:pPr>
        <w:pStyle w:val="Compact"/>
        <w:numPr>
          <w:ilvl w:val="0"/>
          <w:numId w:val="1008"/>
        </w:numPr>
      </w:pPr>
      <w:r>
        <w:t xml:space="preserve">Another guidance increase or clearly positive second-half commentary.</w:t>
      </w:r>
    </w:p>
    <w:p>
      <w:pPr>
        <w:pStyle w:val="FirstParagraph"/>
      </w:pPr>
      <w:r>
        <w:rPr>
          <w:b/>
          <w:bCs/>
        </w:rPr>
        <w:t xml:space="preserve">Likely interpretation:</w:t>
      </w:r>
      <w:r>
        <w:t xml:space="preserve"> </w:t>
      </w:r>
      <w:r>
        <w:t xml:space="preserve">T-Mobile’s competitive differentiation remains intact, Starlink fears are over-discounted and recent multiple compression provides room for recovery.</w:t>
      </w:r>
    </w:p>
    <w:bookmarkEnd w:id="27"/>
    <w:bookmarkStart w:id="28" w:name="base-case"/>
    <w:p>
      <w:pPr>
        <w:pStyle w:val="Heading3"/>
      </w:pPr>
      <w:r>
        <w:t xml:space="preserve">Base case</w:t>
      </w:r>
    </w:p>
    <w:p>
      <w:pPr>
        <w:pStyle w:val="Compact"/>
        <w:numPr>
          <w:ilvl w:val="0"/>
          <w:numId w:val="1009"/>
        </w:numPr>
      </w:pPr>
      <w:r>
        <w:t xml:space="preserve">Account additions of 250,000–270,000.</w:t>
      </w:r>
    </w:p>
    <w:p>
      <w:pPr>
        <w:pStyle w:val="Compact"/>
        <w:numPr>
          <w:ilvl w:val="0"/>
          <w:numId w:val="1009"/>
        </w:numPr>
      </w:pPr>
      <w:r>
        <w:t xml:space="preserve">ARPA growth around 1.5%–2%.</w:t>
      </w:r>
    </w:p>
    <w:p>
      <w:pPr>
        <w:pStyle w:val="Compact"/>
        <w:numPr>
          <w:ilvl w:val="0"/>
          <w:numId w:val="1009"/>
        </w:numPr>
      </w:pPr>
      <w:r>
        <w:t xml:space="preserve">EBITDA near $9.4 billion.</w:t>
      </w:r>
    </w:p>
    <w:p>
      <w:pPr>
        <w:pStyle w:val="Compact"/>
        <w:numPr>
          <w:ilvl w:val="0"/>
          <w:numId w:val="1009"/>
        </w:numPr>
      </w:pPr>
      <w:r>
        <w:t xml:space="preserve">Free cash flow around $4.5 billion.</w:t>
      </w:r>
    </w:p>
    <w:p>
      <w:pPr>
        <w:pStyle w:val="Compact"/>
        <w:numPr>
          <w:ilvl w:val="0"/>
          <w:numId w:val="1009"/>
        </w:numPr>
      </w:pPr>
      <w:r>
        <w:t xml:space="preserve">Full-year guidance reaffirmed.</w:t>
      </w:r>
    </w:p>
    <w:p>
      <w:pPr>
        <w:pStyle w:val="FirstParagraph"/>
      </w:pPr>
      <w:r>
        <w:rPr>
          <w:b/>
          <w:bCs/>
        </w:rPr>
        <w:t xml:space="preserve">Likely interpretation:</w:t>
      </w:r>
      <w:r>
        <w:t xml:space="preserve"> </w:t>
      </w:r>
      <w:r>
        <w:t xml:space="preserve">The operating thesis remains intact, but the report may not provide enough upside to trigger substantial multiple expansion.</w:t>
      </w:r>
    </w:p>
    <w:bookmarkEnd w:id="28"/>
    <w:bookmarkStart w:id="29" w:name="bear-case"/>
    <w:p>
      <w:pPr>
        <w:pStyle w:val="Heading3"/>
      </w:pPr>
      <w:r>
        <w:t xml:space="preserve">Bear case</w:t>
      </w:r>
    </w:p>
    <w:p>
      <w:pPr>
        <w:pStyle w:val="Compact"/>
        <w:numPr>
          <w:ilvl w:val="0"/>
          <w:numId w:val="1010"/>
        </w:numPr>
      </w:pPr>
      <w:r>
        <w:t xml:space="preserve">Account additions below approximately 230,000.</w:t>
      </w:r>
    </w:p>
    <w:p>
      <w:pPr>
        <w:pStyle w:val="Compact"/>
        <w:numPr>
          <w:ilvl w:val="0"/>
          <w:numId w:val="1010"/>
        </w:numPr>
      </w:pPr>
      <w:r>
        <w:t xml:space="preserve">Materially higher account churn.</w:t>
      </w:r>
    </w:p>
    <w:p>
      <w:pPr>
        <w:pStyle w:val="Compact"/>
        <w:numPr>
          <w:ilvl w:val="0"/>
          <w:numId w:val="1010"/>
        </w:numPr>
      </w:pPr>
      <w:r>
        <w:t xml:space="preserve">ARPA growth below 1.5% without a convincing explanation.</w:t>
      </w:r>
    </w:p>
    <w:p>
      <w:pPr>
        <w:pStyle w:val="Compact"/>
        <w:numPr>
          <w:ilvl w:val="0"/>
          <w:numId w:val="1010"/>
        </w:numPr>
      </w:pPr>
      <w:r>
        <w:t xml:space="preserve">EBITDA below $9.3 billion.</w:t>
      </w:r>
    </w:p>
    <w:p>
      <w:pPr>
        <w:pStyle w:val="Compact"/>
        <w:numPr>
          <w:ilvl w:val="0"/>
          <w:numId w:val="1010"/>
        </w:numPr>
      </w:pPr>
      <w:r>
        <w:t xml:space="preserve">No guidance increase combined with caution on competition, broadband or integration.</w:t>
      </w:r>
    </w:p>
    <w:p>
      <w:pPr>
        <w:pStyle w:val="FirstParagraph"/>
      </w:pPr>
      <w:r>
        <w:rPr>
          <w:b/>
          <w:bCs/>
        </w:rPr>
        <w:t xml:space="preserve">Likely interpretation:</w:t>
      </w:r>
      <w:r>
        <w:t xml:space="preserve"> </w:t>
      </w:r>
      <w:r>
        <w:t xml:space="preserve">T-Mobile may be spending more to sustain growth just as competitive and satellite-related risks are increasing.</w:t>
      </w:r>
    </w:p>
    <w:bookmarkEnd w:id="29"/>
    <w:bookmarkEnd w:id="30"/>
    <w:bookmarkStart w:id="31" w:name="bottom-line"/>
    <w:p>
      <w:pPr>
        <w:pStyle w:val="Heading2"/>
      </w:pPr>
      <w:r>
        <w:t xml:space="preserve">Bottom line</w:t>
      </w:r>
    </w:p>
    <w:p>
      <w:pPr>
        <w:pStyle w:val="FirstParagraph"/>
      </w:pPr>
      <w:r>
        <w:t xml:space="preserve">The bar for the headline financials is close to management’s own Q2 targets, so the decisive variables are likely to be</w:t>
      </w:r>
      <w:r>
        <w:t xml:space="preserve"> </w:t>
      </w:r>
      <w:r>
        <w:rPr>
          <w:b/>
          <w:bCs/>
        </w:rPr>
        <w:t xml:space="preserve">postpaid account additions, account churn, ARPA quality and forward guidance</w:t>
      </w:r>
      <w:r>
        <w:t xml:space="preserve">.</w:t>
      </w:r>
    </w:p>
    <w:p>
      <w:pPr>
        <w:pStyle w:val="BodyText"/>
      </w:pPr>
      <w:r>
        <w:t xml:space="preserve">The risk/reward appears moderately favorable because the stock has already de-rated and a consensus-like quarter would leave T-Mobile well positioned against its full-year targets. But a clean beat probably requires more than $9.4 billion of EBITDA: investors will want evidence that T-Mobile can continue gaining valuable household relationships while preserving pricing, margins and cash conversion in a more competitive market.</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about.att.com/story/2026/2q-earnings.html" TargetMode="External" /><Relationship Type="http://schemas.openxmlformats.org/officeDocument/2006/relationships/hyperlink" Id="rId12" Target="https://s29.q4cdn.com/310188824/files/doc_financials/2026/q1/Q1-2026-Earnings-Release-vFinal.pdf" TargetMode="External" /><Relationship Type="http://schemas.openxmlformats.org/officeDocument/2006/relationships/hyperlink" Id="rId10" Target="https://s29.q4cdn.com/310188824/files/doc_financials/2026/q1/TMUS-USQ_Transcript_2026-04-28.pdf" TargetMode="External" /><Relationship Type="http://schemas.openxmlformats.org/officeDocument/2006/relationships/hyperlink" Id="rId18" Target="https://www.investing.com/news/stock-market-news/morgan-stanley-names-tmobile-top-pick-despite-starlink-competition-concerns-93CH-4786547" TargetMode="External" /></Relationships>
</file>

<file path=word/_rels/footnotes.xml.rels><?xml version="1.0" encoding="UTF-8"?><Relationships xmlns="http://schemas.openxmlformats.org/package/2006/relationships"><Relationship Type="http://schemas.openxmlformats.org/officeDocument/2006/relationships/hyperlink" Id="rId16" Target="https://about.att.com/story/2026/2q-earnings.html" TargetMode="External" /><Relationship Type="http://schemas.openxmlformats.org/officeDocument/2006/relationships/hyperlink" Id="rId12" Target="https://s29.q4cdn.com/310188824/files/doc_financials/2026/q1/Q1-2026-Earnings-Release-vFinal.pdf" TargetMode="External" /><Relationship Type="http://schemas.openxmlformats.org/officeDocument/2006/relationships/hyperlink" Id="rId10" Target="https://s29.q4cdn.com/310188824/files/doc_financials/2026/q1/TMUS-USQ_Transcript_2026-04-28.pdf" TargetMode="External" /><Relationship Type="http://schemas.openxmlformats.org/officeDocument/2006/relationships/hyperlink" Id="rId18" Target="https://www.investing.com/news/stock-market-news/morgan-stanley-names-tmobile-top-pick-despite-starlink-competition-concerns-93CH-478654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2026-07-23T00:05:51Z</dcterms:created>
  <dcterms:modified xsi:type="dcterms:W3CDTF">2026-07-23T00:05:51Z</dcterms:modified>
</cp:coreProperties>
</file>

<file path=docProps/custom.xml><?xml version="1.0" encoding="utf-8"?>
<Properties xmlns="http://schemas.openxmlformats.org/officeDocument/2006/custom-properties" xmlns:vt="http://schemas.openxmlformats.org/officeDocument/2006/docPropsVTypes"/>
</file>