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mus-earnings-predictions--2026-07-23"/>
    <w:p>
      <w:pPr>
        <w:pStyle w:val="Heading1"/>
      </w:pPr>
      <w:r>
        <w:t xml:space="preserve">TMUS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Postpaid net account additions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~285K vs. cons 262K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Adjusted EBITDA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~$9.48B vs. cons $9.43B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free cash flow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~$4.70B vs. cons $4.55B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postpaid net account additions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~1.00M midpoint vs. cons 1.01M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Core Adjusted EBITDA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~$37.30B midpoint vs. cons $37.40B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free cash flow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~$18.40B midpoint vs. cons $18.45B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postpaid ARPA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~2.75% midpoint vs. cons 2.70%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+3.5% (FOLLOW-THROUGH)</w:t>
            </w:r>
          </w:p>
        </w:tc>
        <w:tc>
          <w:tcPr/>
          <w:p>
            <w:pPr>
              <w:pStyle w:val="Compact"/>
            </w:pPr>
            <w:r>
              <w:t xml:space="preserve">A ~285K account-add result versus 262K consensus plus ~$4.70B adjusted free cash flow versus</w:t>
            </w:r>
            <w:r>
              <w:t xml:space="preserve"> </w:t>
            </w:r>
            <m:oMath>
              <m:r>
                <m:t>4.55</m:t>
              </m:r>
              <m:r>
                <m:t>B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m</m:t>
              </m:r>
              <m:r>
                <m:t>o</m:t>
              </m:r>
              <m:r>
                <m:t>d</m:t>
              </m:r>
              <m:r>
                <m:t>e</m:t>
              </m:r>
              <m:r>
                <m:t>s</m:t>
              </m:r>
              <m:r>
                <m:t>t</m:t>
              </m:r>
              <m:r>
                <m:t>u</m:t>
              </m:r>
              <m:r>
                <m:t>p</m:t>
              </m:r>
              <m:r>
                <m:t>w</m:t>
              </m:r>
              <m:r>
                <m:t>a</m:t>
              </m:r>
              <m:r>
                <m:t>r</m:t>
              </m:r>
              <m:r>
                <m:t>d</m:t>
              </m:r>
              <m:r>
                <m:t>r</m:t>
              </m:r>
              <m:r>
                <m:t>e</m:t>
              </m:r>
              <m:r>
                <m:t>v</m:t>
              </m:r>
              <m:r>
                <m:t>i</m:t>
              </m:r>
              <m:r>
                <m:t>s</m:t>
              </m:r>
              <m:r>
                <m:t>i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i</m:t>
              </m:r>
              <m:r>
                <m:t>f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r</m:t>
              </m:r>
              <m:r>
                <m:t>e</m:t>
              </m:r>
              <m:r>
                <m:t>m</m:t>
              </m:r>
              <m:r>
                <m:t>a</m:t>
              </m:r>
              <m:r>
                <m:t>i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37.30B EBITDA versus $37.40B consensus; the key is credible second-half ARPA reacceleration rather than a headline guide raise.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2026-07-23T00:06:26Z</dcterms:created>
  <dcterms:modified xsi:type="dcterms:W3CDTF">2026-07-23T00:06:26Z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