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tmus-q2-2026-earnings-preview"/>
    <w:p>
      <w:pPr>
        <w:pStyle w:val="Heading1"/>
      </w:pPr>
      <w:r>
        <w:t xml:space="preserve">TMUS Q2 2026 Earnings Preview</w:t>
      </w:r>
    </w:p>
    <w:p>
      <w:pPr>
        <w:pStyle w:val="FirstParagraph"/>
      </w:pPr>
      <w:r>
        <w:rPr>
          <w:b/>
          <w:bCs/>
        </w:rPr>
        <w:t xml:space="preserve">Event:</w:t>
      </w:r>
      <w:r>
        <w:t xml:space="preserve"> </w:t>
      </w:r>
      <w:r>
        <w:t xml:space="preserve">Thursday, July 23, 2026 — results expected at approximately</w:t>
      </w:r>
      <w:r>
        <w:t xml:space="preserve"> </w:t>
      </w:r>
      <w:r>
        <w:rPr>
          <w:b/>
          <w:bCs/>
        </w:rPr>
        <w:t xml:space="preserve">6:30 a.m. ET</w:t>
      </w:r>
      <w:r>
        <w:t xml:space="preserve">, followed by a</w:t>
      </w:r>
      <w:r>
        <w:t xml:space="preserve"> </w:t>
      </w:r>
      <w:r>
        <w:rPr>
          <w:b/>
          <w:bCs/>
        </w:rPr>
        <w:t xml:space="preserve">7:30 a.m. ET</w:t>
      </w:r>
      <w:r>
        <w:t xml:space="preserve"> </w:t>
      </w:r>
      <w:r>
        <w:t xml:space="preserve">earnings call.</w:t>
      </w:r>
      <w:r>
        <w:br/>
      </w:r>
      <w:r>
        <w:rPr>
          <w:b/>
          <w:bCs/>
        </w:rPr>
        <w:t xml:space="preserve">Setup:</w:t>
      </w:r>
      <w:r>
        <w:t xml:space="preserve"> </w:t>
      </w:r>
      <w:r>
        <w:t xml:space="preserve">T-Mobile enters Q2 with the sector’s strongest fundamental narrative—network-led share gains, rising account monetization, fixed-wireless scale, and substantial capital returns—but with a more demanding near-term bar after management’s Q1 guidance increase. The central question is less whether TMUS can post growth, and more whether it can validate that its growth remains durable amid a more competitive wireless backdrop and investor concerns around satellite/Starlink disruption.</w:t>
      </w:r>
    </w:p>
    <w:bookmarkStart w:id="9"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pPr>
            <w:r>
              <w:t xml:space="preserve">Read-through</w:t>
            </w:r>
          </w:p>
        </w:tc>
      </w:tr>
      <w:tr>
        <w:tc>
          <w:tcPr/>
          <w:p>
            <w:pPr>
              <w:pStyle w:val="Compact"/>
            </w:pPr>
            <w:r>
              <w:t xml:space="preserve">EPS</w:t>
            </w:r>
          </w:p>
        </w:tc>
        <w:tc>
          <w:tcPr/>
          <w:p>
            <w:pPr>
              <w:pStyle w:val="Compact"/>
              <w:jc w:val="right"/>
            </w:pPr>
            <w:r>
              <w:rPr>
                <w:b/>
                <w:bCs/>
              </w:rPr>
              <w:t xml:space="preserve">$2.56</w:t>
            </w:r>
          </w:p>
        </w:tc>
        <w:tc>
          <w:tcPr/>
          <w:p>
            <w:pPr>
              <w:pStyle w:val="Compact"/>
              <w:jc w:val="right"/>
            </w:pPr>
            <w:r>
              <w:t xml:space="preserve">$2.84</w:t>
            </w:r>
          </w:p>
        </w:tc>
        <w:tc>
          <w:tcPr/>
          <w:p>
            <w:pPr>
              <w:pStyle w:val="Compact"/>
            </w:pPr>
            <w:r>
              <w:t xml:space="preserve">GAAP EPS is likely to remain distorted by UScellular integration, network-restructuring, and other special items.</w:t>
            </w:r>
          </w:p>
        </w:tc>
      </w:tr>
      <w:tr>
        <w:tc>
          <w:tcPr/>
          <w:p>
            <w:pPr>
              <w:pStyle w:val="Compact"/>
            </w:pPr>
            <w:r>
              <w:t xml:space="preserve">Revenue</w:t>
            </w:r>
          </w:p>
        </w:tc>
        <w:tc>
          <w:tcPr/>
          <w:p>
            <w:pPr>
              <w:pStyle w:val="Compact"/>
              <w:jc w:val="right"/>
            </w:pPr>
            <w:r>
              <w:rPr>
                <w:b/>
                <w:bCs/>
              </w:rPr>
              <w:t xml:space="preserve">$23.0B</w:t>
            </w:r>
          </w:p>
        </w:tc>
        <w:tc>
          <w:tcPr/>
          <w:p>
            <w:pPr>
              <w:pStyle w:val="Compact"/>
              <w:jc w:val="right"/>
            </w:pPr>
            <w:r>
              <w:t xml:space="preserve">$21.1B</w:t>
            </w:r>
          </w:p>
        </w:tc>
        <w:tc>
          <w:tcPr/>
          <w:p>
            <w:pPr>
              <w:pStyle w:val="Compact"/>
            </w:pPr>
            <w:r>
              <w:t xml:space="preserve">Implies roughly</w:t>
            </w:r>
            <w:r>
              <w:t xml:space="preserve"> </w:t>
            </w:r>
            <w:r>
              <w:rPr>
                <w:b/>
                <w:bCs/>
              </w:rPr>
              <w:t xml:space="preserve">8.7% YoY</w:t>
            </w:r>
            <w:r>
              <w:t xml:space="preserve"> </w:t>
            </w:r>
            <w:r>
              <w:t xml:space="preserve">growth.</w:t>
            </w:r>
          </w:p>
        </w:tc>
      </w:tr>
      <w:tr>
        <w:tc>
          <w:tcPr/>
          <w:p>
            <w:pPr>
              <w:pStyle w:val="Compact"/>
            </w:pPr>
            <w:r>
              <w:t xml:space="preserve">Core Adjusted EBITDA</w:t>
            </w:r>
          </w:p>
        </w:tc>
        <w:tc>
          <w:tcPr/>
          <w:p>
            <w:pPr>
              <w:pStyle w:val="Compact"/>
              <w:jc w:val="right"/>
            </w:pPr>
            <w:r>
              <w:rPr>
                <w:b/>
                <w:bCs/>
              </w:rPr>
              <w:t xml:space="preserve">$9.43B</w:t>
            </w:r>
          </w:p>
        </w:tc>
        <w:tc>
          <w:tcPr/>
          <w:p>
            <w:pPr>
              <w:pStyle w:val="Compact"/>
              <w:jc w:val="right"/>
            </w:pPr>
            <w:r>
              <w:t xml:space="preserve">$8.54B</w:t>
            </w:r>
          </w:p>
        </w:tc>
        <w:tc>
          <w:tcPr/>
          <w:p>
            <w:pPr>
              <w:pStyle w:val="Compact"/>
            </w:pPr>
            <w:r>
              <w:t xml:space="preserve">Implies about</w:t>
            </w:r>
            <w:r>
              <w:t xml:space="preserve"> </w:t>
            </w:r>
            <w:r>
              <w:rPr>
                <w:b/>
                <w:bCs/>
              </w:rPr>
              <w:t xml:space="preserve">10.4% YoY</w:t>
            </w:r>
            <w:r>
              <w:t xml:space="preserve"> </w:t>
            </w:r>
            <w:r>
              <w:t xml:space="preserve">growth and is essentially aligned with management’s Q1 guide of “approximately $9.4B.”</w:t>
            </w:r>
          </w:p>
        </w:tc>
      </w:tr>
      <w:tr>
        <w:tc>
          <w:tcPr/>
          <w:p>
            <w:pPr>
              <w:pStyle w:val="Compact"/>
            </w:pPr>
            <w:r>
              <w:t xml:space="preserve">Adjusted free cash flow</w:t>
            </w:r>
          </w:p>
        </w:tc>
        <w:tc>
          <w:tcPr/>
          <w:p>
            <w:pPr>
              <w:pStyle w:val="Compact"/>
              <w:jc w:val="right"/>
            </w:pPr>
            <w:r>
              <w:rPr>
                <w:b/>
                <w:bCs/>
              </w:rPr>
              <w:t xml:space="preserve">$4.55B</w:t>
            </w:r>
          </w:p>
        </w:tc>
        <w:tc>
          <w:tcPr/>
          <w:p>
            <w:pPr>
              <w:pStyle w:val="Compact"/>
              <w:jc w:val="right"/>
            </w:pPr>
            <w:r>
              <w:t xml:space="preserve">$4.60B</w:t>
            </w:r>
          </w:p>
        </w:tc>
        <w:tc>
          <w:tcPr/>
          <w:p>
            <w:pPr>
              <w:pStyle w:val="Compact"/>
            </w:pPr>
            <w:r>
              <w:t xml:space="preserve">Cash conversion is key, though Q2 absorbs integration and restructuring cash costs.</w:t>
            </w:r>
          </w:p>
        </w:tc>
      </w:tr>
      <w:tr>
        <w:tc>
          <w:tcPr/>
          <w:p>
            <w:pPr>
              <w:pStyle w:val="Compact"/>
            </w:pPr>
            <w:r>
              <w:t xml:space="preserve">Postpaid net account adds</w:t>
            </w:r>
          </w:p>
        </w:tc>
        <w:tc>
          <w:tcPr/>
          <w:p>
            <w:pPr>
              <w:pStyle w:val="Compact"/>
              <w:jc w:val="right"/>
            </w:pPr>
            <w:r>
              <w:rPr>
                <w:b/>
                <w:bCs/>
              </w:rPr>
              <w:t xml:space="preserve">262K</w:t>
            </w:r>
          </w:p>
        </w:tc>
        <w:tc>
          <w:tcPr/>
          <w:p>
            <w:pPr>
              <w:pStyle w:val="Compact"/>
              <w:jc w:val="right"/>
            </w:pPr>
            <w:r>
              <w:t xml:space="preserve">318K</w:t>
            </w:r>
          </w:p>
        </w:tc>
        <w:tc>
          <w:tcPr/>
          <w:p>
            <w:pPr>
              <w:pStyle w:val="Compact"/>
            </w:pPr>
            <w:r>
              <w:t xml:space="preserve">A lower YoY comparison, but still a solid outcome if paired with healthy ARPA and broadband growth.</w:t>
            </w:r>
          </w:p>
        </w:tc>
      </w:tr>
    </w:tbl>
    <w:p>
      <w:pPr>
        <w:pStyle w:val="BodyText"/>
      </w:pPr>
      <w:r>
        <w:rPr>
          <w:i/>
          <w:iCs/>
        </w:rPr>
        <w:t xml:space="preserve">Consensus figures reflect market expectations available immediately ahead of the report.</w:t>
      </w:r>
    </w:p>
    <w:bookmarkEnd w:id="9"/>
    <w:bookmarkStart w:id="10" w:name="X5a968151d2227f45581f07f8f0697f78b942934"/>
    <w:p>
      <w:pPr>
        <w:pStyle w:val="Heading2"/>
      </w:pPr>
      <w:r>
        <w:t xml:space="preserve">The key debate: Can T-Mobile sustain both account growth and ARPA growth?</w:t>
      </w:r>
    </w:p>
    <w:p>
      <w:pPr>
        <w:pStyle w:val="FirstParagraph"/>
      </w:pPr>
      <w:r>
        <w:t xml:space="preserve">T-Mobile’s investment case rests on growing</w:t>
      </w:r>
      <w:r>
        <w:t xml:space="preserve"> </w:t>
      </w:r>
      <w:r>
        <w:rPr>
          <w:b/>
          <w:bCs/>
        </w:rPr>
        <w:t xml:space="preserve">postpaid relationships</w:t>
      </w:r>
      <w:r>
        <w:t xml:space="preserve"> </w:t>
      </w:r>
      <w:r>
        <w:t xml:space="preserve">while simultaneously increasing value per relationship. In Q1, it delivered</w:t>
      </w:r>
      <w:r>
        <w:t xml:space="preserve"> </w:t>
      </w:r>
      <w:r>
        <w:rPr>
          <w:b/>
          <w:bCs/>
        </w:rPr>
        <w:t xml:space="preserve">217K postpaid net account additions</w:t>
      </w:r>
      <w:r>
        <w:t xml:space="preserve"> </w:t>
      </w:r>
      <w:r>
        <w:t xml:space="preserve">and</w:t>
      </w:r>
      <w:r>
        <w:t xml:space="preserve"> </w:t>
      </w:r>
      <w:r>
        <w:rPr>
          <w:b/>
          <w:bCs/>
        </w:rPr>
        <w:t xml:space="preserve">3.9% postpaid ARPA growth</w:t>
      </w:r>
      <w:r>
        <w:t xml:space="preserve">, driving</w:t>
      </w:r>
      <w:r>
        <w:t xml:space="preserve"> </w:t>
      </w:r>
      <w:r>
        <w:rPr>
          <w:b/>
          <w:bCs/>
        </w:rPr>
        <w:t xml:space="preserve">11% service-revenue growth</w:t>
      </w:r>
      <w:r>
        <w:t xml:space="preserve">,</w:t>
      </w:r>
      <w:r>
        <w:t xml:space="preserve"> </w:t>
      </w:r>
      <w:r>
        <w:rPr>
          <w:b/>
          <w:bCs/>
        </w:rPr>
        <w:t xml:space="preserve">12% Core Adjusted EBITDA growth</w:t>
      </w:r>
      <w:r>
        <w:t xml:space="preserve">, and</w:t>
      </w:r>
      <w:r>
        <w:t xml:space="preserve"> </w:t>
      </w:r>
      <w:r>
        <w:rPr>
          <w:b/>
          <w:bCs/>
        </w:rPr>
        <w:t xml:space="preserve">$4.6B of adjusted free cash flow</w:t>
      </w:r>
      <w:r>
        <w:t xml:space="preserve">.</w:t>
      </w:r>
    </w:p>
    <w:p>
      <w:pPr>
        <w:pStyle w:val="BodyText"/>
      </w:pPr>
      <w:r>
        <w:t xml:space="preserve">For Q2, management has already framed the expected cadence:</w:t>
      </w:r>
    </w:p>
    <w:p>
      <w:pPr>
        <w:pStyle w:val="Compact"/>
        <w:numPr>
          <w:ilvl w:val="0"/>
          <w:numId w:val="1001"/>
        </w:numPr>
      </w:pPr>
      <w:r>
        <w:rPr>
          <w:b/>
          <w:bCs/>
        </w:rPr>
        <w:t xml:space="preserve">Service revenue:</w:t>
      </w:r>
      <w:r>
        <w:t xml:space="preserve"> </w:t>
      </w:r>
      <w:r>
        <w:t xml:space="preserve">approximately</w:t>
      </w:r>
      <w:r>
        <w:t xml:space="preserve"> </w:t>
      </w:r>
      <w:r>
        <w:rPr>
          <w:b/>
          <w:bCs/>
        </w:rPr>
        <w:t xml:space="preserve">$19B</w:t>
      </w:r>
      <w:r>
        <w:t xml:space="preserve">, or roughly</w:t>
      </w:r>
      <w:r>
        <w:t xml:space="preserve"> </w:t>
      </w:r>
      <w:r>
        <w:rPr>
          <w:b/>
          <w:bCs/>
        </w:rPr>
        <w:t xml:space="preserve">9% YoY growth</w:t>
      </w:r>
      <w:r>
        <w:t xml:space="preserve">.</w:t>
      </w:r>
    </w:p>
    <w:p>
      <w:pPr>
        <w:pStyle w:val="Compact"/>
        <w:numPr>
          <w:ilvl w:val="0"/>
          <w:numId w:val="1001"/>
        </w:numPr>
      </w:pPr>
      <w:r>
        <w:rPr>
          <w:b/>
          <w:bCs/>
        </w:rPr>
        <w:t xml:space="preserve">Core Adjusted EBITDA:</w:t>
      </w:r>
      <w:r>
        <w:t xml:space="preserve"> </w:t>
      </w:r>
      <w:r>
        <w:t xml:space="preserve">approximately</w:t>
      </w:r>
      <w:r>
        <w:t xml:space="preserve"> </w:t>
      </w:r>
      <w:r>
        <w:rPr>
          <w:b/>
          <w:bCs/>
        </w:rPr>
        <w:t xml:space="preserve">$9.4B</w:t>
      </w:r>
      <w:r>
        <w:t xml:space="preserve">, or roughly</w:t>
      </w:r>
      <w:r>
        <w:t xml:space="preserve"> </w:t>
      </w:r>
      <w:r>
        <w:rPr>
          <w:b/>
          <w:bCs/>
        </w:rPr>
        <w:t xml:space="preserve">10% YoY growth</w:t>
      </w:r>
      <w:r>
        <w:t xml:space="preserve">.</w:t>
      </w:r>
    </w:p>
    <w:p>
      <w:pPr>
        <w:pStyle w:val="Compact"/>
        <w:numPr>
          <w:ilvl w:val="0"/>
          <w:numId w:val="1001"/>
        </w:numPr>
      </w:pPr>
      <w:r>
        <w:rPr>
          <w:b/>
          <w:bCs/>
        </w:rPr>
        <w:t xml:space="preserve">Postpaid ARPA:</w:t>
      </w:r>
      <w:r>
        <w:t xml:space="preserve"> </w:t>
      </w:r>
      <w:r>
        <w:t xml:space="preserve">expected to grow closer to</w:t>
      </w:r>
      <w:r>
        <w:t xml:space="preserve"> </w:t>
      </w:r>
      <w:r>
        <w:rPr>
          <w:b/>
          <w:bCs/>
        </w:rPr>
        <w:t xml:space="preserve">2% YoY</w:t>
      </w:r>
      <w:r>
        <w:t xml:space="preserve"> </w:t>
      </w:r>
      <w:r>
        <w:t xml:space="preserve">in Q2, rather than Q1’s 3.9%, because Q2 2025 benefited from prior rate-plan optimization and because acquired bases dilute reported ARPA growth.</w:t>
      </w:r>
    </w:p>
    <w:p>
      <w:pPr>
        <w:pStyle w:val="Compact"/>
        <w:numPr>
          <w:ilvl w:val="0"/>
          <w:numId w:val="1001"/>
        </w:numPr>
      </w:pPr>
      <w:r>
        <w:rPr>
          <w:b/>
          <w:bCs/>
        </w:rPr>
        <w:t xml:space="preserve">Second-half ARPA growth:</w:t>
      </w:r>
      <w:r>
        <w:t xml:space="preserve"> </w:t>
      </w:r>
      <w:r>
        <w:t xml:space="preserve">expected to reaccelerate.</w:t>
      </w:r>
    </w:p>
    <w:p>
      <w:pPr>
        <w:pStyle w:val="FirstParagraph"/>
      </w:pPr>
      <w:r>
        <w:t xml:space="preserve">That makes Q2 unusually sensitive to the quality of the bridge beneath the headline figures. A result near $9.4B of Core EBITDA is broadly anticipated; investors will instead focus on whether the components—accounts, ARPA, churn, fixed wireless, and service-revenue growth—support management’s promised second-half acceleration.</w:t>
      </w:r>
    </w:p>
    <w:bookmarkEnd w:id="10"/>
    <w:bookmarkStart w:id="16" w:name="what-matters-most-on-thursday"/>
    <w:p>
      <w:pPr>
        <w:pStyle w:val="Heading2"/>
      </w:pPr>
      <w:r>
        <w:t xml:space="preserve">What matters most on Thursday</w:t>
      </w:r>
    </w:p>
    <w:bookmarkStart w:id="11" w:name="X165fe672ba1f4c881beda5e4290217a789a8f0c"/>
    <w:p>
      <w:pPr>
        <w:pStyle w:val="Heading3"/>
      </w:pPr>
      <w:r>
        <w:t xml:space="preserve">1. Postpaid account additions and competitive intensity</w:t>
      </w:r>
    </w:p>
    <w:p>
      <w:pPr>
        <w:pStyle w:val="FirstParagraph"/>
      </w:pPr>
      <w:r>
        <w:t xml:space="preserve">The Street expects</w:t>
      </w:r>
      <w:r>
        <w:t xml:space="preserve"> </w:t>
      </w:r>
      <w:r>
        <w:rPr>
          <w:b/>
          <w:bCs/>
        </w:rPr>
        <w:t xml:space="preserve">262K postpaid net account additions</w:t>
      </w:r>
      <w:r>
        <w:t xml:space="preserve">, versus a very strong</w:t>
      </w:r>
      <w:r>
        <w:t xml:space="preserve"> </w:t>
      </w:r>
      <w:r>
        <w:rPr>
          <w:b/>
          <w:bCs/>
        </w:rPr>
        <w:t xml:space="preserve">318K</w:t>
      </w:r>
      <w:r>
        <w:t xml:space="preserve"> </w:t>
      </w:r>
      <w:r>
        <w:t xml:space="preserve">in Q2 2025 and</w:t>
      </w:r>
      <w:r>
        <w:t xml:space="preserve"> </w:t>
      </w:r>
      <w:r>
        <w:rPr>
          <w:b/>
          <w:bCs/>
        </w:rPr>
        <w:t xml:space="preserve">217K</w:t>
      </w:r>
      <w:r>
        <w:t xml:space="preserve"> </w:t>
      </w:r>
      <w:r>
        <w:t xml:space="preserve">in Q1 2026. The comparison is difficult, but the more important issue is whether T-Mobile continues to gain valuable customer relationships without materially increasing promotional intensity.</w:t>
      </w:r>
    </w:p>
    <w:p>
      <w:pPr>
        <w:pStyle w:val="BodyText"/>
      </w:pPr>
      <w:r>
        <w:t xml:space="preserve">Management has argued that the market’s direction of flow is driven primarily by its combination of network quality, value, and customer experience—not handset subsidies. Investors should look for:</w:t>
      </w:r>
    </w:p>
    <w:p>
      <w:pPr>
        <w:pStyle w:val="Compact"/>
        <w:numPr>
          <w:ilvl w:val="0"/>
          <w:numId w:val="1002"/>
        </w:numPr>
      </w:pPr>
      <w:r>
        <w:t xml:space="preserve">Commentary on the promotional environment during April–June;</w:t>
      </w:r>
    </w:p>
    <w:p>
      <w:pPr>
        <w:pStyle w:val="Compact"/>
        <w:numPr>
          <w:ilvl w:val="0"/>
          <w:numId w:val="1002"/>
        </w:numPr>
      </w:pPr>
      <w:r>
        <w:t xml:space="preserve">Whether competitive activity intensified late in the quarter;</w:t>
      </w:r>
    </w:p>
    <w:p>
      <w:pPr>
        <w:pStyle w:val="Compact"/>
        <w:numPr>
          <w:ilvl w:val="0"/>
          <w:numId w:val="1002"/>
        </w:numPr>
      </w:pPr>
      <w:r>
        <w:t xml:space="preserve">Postpaid account churn and whether it is tracking to expectations;</w:t>
      </w:r>
    </w:p>
    <w:p>
      <w:pPr>
        <w:pStyle w:val="Compact"/>
        <w:numPr>
          <w:ilvl w:val="0"/>
          <w:numId w:val="1002"/>
        </w:numPr>
      </w:pPr>
      <w:r>
        <w:t xml:space="preserve">Whether T-Mobile is still winning “network seekers,” especially in rural and smaller markets.</w:t>
      </w:r>
    </w:p>
    <w:p>
      <w:pPr>
        <w:pStyle w:val="FirstParagraph"/>
      </w:pPr>
      <w:r>
        <w:t xml:space="preserve">A meaningful upside to the 262K consensus, without a deterioration in ARPA or cash flow, would reinforce T-Mobile’s claim that it can gain share while maintaining discipline.</w:t>
      </w:r>
    </w:p>
    <w:bookmarkEnd w:id="11"/>
    <w:bookmarkStart w:id="12" w:name="X9c80b6bbce9da4afe144ccb6bc4d5e68d2e80ec"/>
    <w:p>
      <w:pPr>
        <w:pStyle w:val="Heading3"/>
      </w:pPr>
      <w:r>
        <w:t xml:space="preserve">2. ARPA: the most important quality metric</w:t>
      </w:r>
    </w:p>
    <w:p>
      <w:pPr>
        <w:pStyle w:val="FirstParagraph"/>
      </w:pPr>
      <w:r>
        <w:t xml:space="preserve">T-Mobile’s focus on</w:t>
      </w:r>
      <w:r>
        <w:t xml:space="preserve"> </w:t>
      </w:r>
      <w:r>
        <w:rPr>
          <w:b/>
          <w:bCs/>
        </w:rPr>
        <w:t xml:space="preserve">postpaid ARPA</w:t>
      </w:r>
      <w:r>
        <w:t xml:space="preserve"> </w:t>
      </w:r>
      <w:r>
        <w:t xml:space="preserve">rather than phone ARPU is strategically important: it reflects monetization of a broader household or business relationship, including additional lines, premium plans, broadband, and adjacent products.</w:t>
      </w:r>
    </w:p>
    <w:p>
      <w:pPr>
        <w:pStyle w:val="BodyText"/>
      </w:pPr>
      <w:r>
        <w:t xml:space="preserve">Management expects full-year ARPA growth of</w:t>
      </w:r>
      <w:r>
        <w:t xml:space="preserve"> </w:t>
      </w:r>
      <w:r>
        <w:rPr>
          <w:b/>
          <w:bCs/>
        </w:rPr>
        <w:t xml:space="preserve">2.5%–3.0%</w:t>
      </w:r>
      <w:r>
        <w:t xml:space="preserve">, although it has explicitly warned that Q2 should be softer at around 2%. That means:</w:t>
      </w:r>
    </w:p>
    <w:p>
      <w:pPr>
        <w:pStyle w:val="Compact"/>
        <w:numPr>
          <w:ilvl w:val="0"/>
          <w:numId w:val="1003"/>
        </w:numPr>
      </w:pPr>
      <w:r>
        <w:rPr>
          <w:b/>
          <w:bCs/>
        </w:rPr>
        <w:t xml:space="preserve">~2% ARPA growth with a credible second-half reacceleration</w:t>
      </w:r>
      <w:r>
        <w:t xml:space="preserve"> </w:t>
      </w:r>
      <w:r>
        <w:t xml:space="preserve">should be acceptable.</w:t>
      </w:r>
    </w:p>
    <w:p>
      <w:pPr>
        <w:pStyle w:val="Compact"/>
        <w:numPr>
          <w:ilvl w:val="0"/>
          <w:numId w:val="1003"/>
        </w:numPr>
      </w:pPr>
      <w:r>
        <w:t xml:space="preserve">A result materially below that level, especially coupled with weak account adds, would challenge the pricing-and-mix narrative.</w:t>
      </w:r>
    </w:p>
    <w:p>
      <w:pPr>
        <w:pStyle w:val="Compact"/>
        <w:numPr>
          <w:ilvl w:val="0"/>
          <w:numId w:val="1003"/>
        </w:numPr>
      </w:pPr>
      <w:r>
        <w:t xml:space="preserve">Strong premium-plan adoption, increasing lines per account, and evidence of broadband bundling would support the thesis even if the reported ARPA figure is diluted by UScellular, Lumos, and Metronet.</w:t>
      </w:r>
    </w:p>
    <w:p>
      <w:pPr>
        <w:pStyle w:val="FirstParagraph"/>
      </w:pPr>
      <w:r>
        <w:t xml:space="preserve">The call should also provide an update on “more-for-more” plan migrations and whether T-Mobile’s value proposition is enabling voluntary upsell rather than relying on broad-based price increases.</w:t>
      </w:r>
    </w:p>
    <w:bookmarkEnd w:id="12"/>
    <w:bookmarkStart w:id="13" w:name="X6602b9e93eafd796e65bf00a69d037ec9c8a317"/>
    <w:p>
      <w:pPr>
        <w:pStyle w:val="Heading3"/>
      </w:pPr>
      <w:r>
        <w:t xml:space="preserve">3. Fixed wireless and broadband runway</w:t>
      </w:r>
    </w:p>
    <w:p>
      <w:pPr>
        <w:pStyle w:val="FirstParagraph"/>
      </w:pPr>
      <w:r>
        <w:t xml:space="preserve">Broadband remains T-Mobile’s most visible incremental growth engine. In Q1, the company reported</w:t>
      </w:r>
      <w:r>
        <w:t xml:space="preserve"> </w:t>
      </w:r>
      <w:r>
        <w:rPr>
          <w:b/>
          <w:bCs/>
        </w:rPr>
        <w:t xml:space="preserve">more than 500K total broadband net additions</w:t>
      </w:r>
      <w:r>
        <w:t xml:space="preserve">, with accelerated 5G broadband growth. In Q2 2025, it added</w:t>
      </w:r>
      <w:r>
        <w:t xml:space="preserve"> </w:t>
      </w:r>
      <w:r>
        <w:rPr>
          <w:b/>
          <w:bCs/>
        </w:rPr>
        <w:t xml:space="preserve">454K 5G broadband customers</w:t>
      </w:r>
      <w:r>
        <w:t xml:space="preserve"> </w:t>
      </w:r>
      <w:r>
        <w:t xml:space="preserve">and ended the period with</w:t>
      </w:r>
      <w:r>
        <w:t xml:space="preserve"> </w:t>
      </w:r>
      <w:r>
        <w:rPr>
          <w:b/>
          <w:bCs/>
        </w:rPr>
        <w:t xml:space="preserve">7.3M</w:t>
      </w:r>
      <w:r>
        <w:t xml:space="preserve"> </w:t>
      </w:r>
      <w:r>
        <w:t xml:space="preserve">such customers.</w:t>
      </w:r>
    </w:p>
    <w:p>
      <w:pPr>
        <w:pStyle w:val="BodyText"/>
      </w:pPr>
      <w:r>
        <w:t xml:space="preserve">The company’s long-term ambition remains substantial:</w:t>
      </w:r>
    </w:p>
    <w:p>
      <w:pPr>
        <w:pStyle w:val="Compact"/>
        <w:numPr>
          <w:ilvl w:val="0"/>
          <w:numId w:val="1004"/>
        </w:numPr>
      </w:pPr>
      <w:r>
        <w:rPr>
          <w:b/>
          <w:bCs/>
        </w:rPr>
        <w:t xml:space="preserve">15M fixed-wireless customers by 2030</w:t>
      </w:r>
      <w:r>
        <w:t xml:space="preserve">;</w:t>
      </w:r>
    </w:p>
    <w:p>
      <w:pPr>
        <w:pStyle w:val="Compact"/>
        <w:numPr>
          <w:ilvl w:val="0"/>
          <w:numId w:val="1004"/>
        </w:numPr>
      </w:pPr>
      <w:r>
        <w:rPr>
          <w:b/>
          <w:bCs/>
        </w:rPr>
        <w:t xml:space="preserve">3M–4M fiber customers by 2030</w:t>
      </w:r>
      <w:r>
        <w:t xml:space="preserve">;</w:t>
      </w:r>
    </w:p>
    <w:p>
      <w:pPr>
        <w:pStyle w:val="Compact"/>
        <w:numPr>
          <w:ilvl w:val="0"/>
          <w:numId w:val="1004"/>
        </w:numPr>
      </w:pPr>
      <w:r>
        <w:rPr>
          <w:b/>
          <w:bCs/>
        </w:rPr>
        <w:t xml:space="preserve">18M–19M total broadband customers by 2030</w:t>
      </w:r>
      <w:r>
        <w:t xml:space="preserve">.</w:t>
      </w:r>
    </w:p>
    <w:p>
      <w:pPr>
        <w:pStyle w:val="FirstParagraph"/>
      </w:pPr>
      <w:r>
        <w:t xml:space="preserve">For Q2, investors should watch broadband additions, customer experience and speed trends, and evidence that fixed wireless can expand into business and smaller-market opportunities without compromising mobile-network capacity.</w:t>
      </w:r>
    </w:p>
    <w:p>
      <w:pPr>
        <w:pStyle w:val="BodyText"/>
      </w:pPr>
      <w:r>
        <w:t xml:space="preserve">The key question is not simply whether broadband adds remain high. It is whether growth remains</w:t>
      </w:r>
      <w:r>
        <w:t xml:space="preserve"> </w:t>
      </w:r>
      <w:r>
        <w:rPr>
          <w:b/>
          <w:bCs/>
        </w:rPr>
        <w:t xml:space="preserve">capacity-disciplined and economically attractive</w:t>
      </w:r>
      <w:r>
        <w:t xml:space="preserve">, preserving T-Mobile’s industry-leading free-cash-flow conversion.</w:t>
      </w:r>
    </w:p>
    <w:bookmarkEnd w:id="13"/>
    <w:bookmarkStart w:id="14" w:name="X795403e615f10029a6b14e7c290bad9ddfe75b7"/>
    <w:p>
      <w:pPr>
        <w:pStyle w:val="Heading3"/>
      </w:pPr>
      <w:r>
        <w:t xml:space="preserve">4. UScellular integration: execution, churn, and cash cost</w:t>
      </w:r>
    </w:p>
    <w:p>
      <w:pPr>
        <w:pStyle w:val="FirstParagraph"/>
      </w:pPr>
      <w:r>
        <w:t xml:space="preserve">The UScellular acquisition is both an opportunity and a near-term source of accounting noise. Management has said the customer migration is underway and should be substantially complete by year-end 2026. It expects approximately:</w:t>
      </w:r>
    </w:p>
    <w:p>
      <w:pPr>
        <w:pStyle w:val="Compact"/>
        <w:numPr>
          <w:ilvl w:val="0"/>
          <w:numId w:val="1005"/>
        </w:numPr>
      </w:pPr>
      <w:r>
        <w:rPr>
          <w:b/>
          <w:bCs/>
        </w:rPr>
        <w:t xml:space="preserve">$1.2B</w:t>
      </w:r>
      <w:r>
        <w:t xml:space="preserve"> </w:t>
      </w:r>
      <w:r>
        <w:t xml:space="preserve">of 2026 merger-related costs, primarily UScellular;</w:t>
      </w:r>
    </w:p>
    <w:p>
      <w:pPr>
        <w:pStyle w:val="Compact"/>
        <w:numPr>
          <w:ilvl w:val="0"/>
          <w:numId w:val="1005"/>
        </w:numPr>
      </w:pPr>
      <w:r>
        <w:rPr>
          <w:b/>
          <w:bCs/>
        </w:rPr>
        <w:t xml:space="preserve">$450M</w:t>
      </w:r>
      <w:r>
        <w:t xml:space="preserve"> </w:t>
      </w:r>
      <w:r>
        <w:t xml:space="preserve">of network-optimization costs, largely concentrated in Q1 and Q2;</w:t>
      </w:r>
    </w:p>
    <w:p>
      <w:pPr>
        <w:pStyle w:val="Compact"/>
        <w:numPr>
          <w:ilvl w:val="0"/>
          <w:numId w:val="1005"/>
        </w:numPr>
      </w:pPr>
      <w:r>
        <w:rPr>
          <w:b/>
          <w:bCs/>
        </w:rPr>
        <w:t xml:space="preserve">$2.7B</w:t>
      </w:r>
      <w:r>
        <w:t xml:space="preserve"> </w:t>
      </w:r>
      <w:r>
        <w:t xml:space="preserve">of run-rate cost synergies exiting 2027.</w:t>
      </w:r>
    </w:p>
    <w:p>
      <w:pPr>
        <w:pStyle w:val="FirstParagraph"/>
      </w:pPr>
      <w:r>
        <w:t xml:space="preserve">Q2 needs to demonstrate that integration is progressing without unexpected customer churn, service disruption, or cash-cost escalation. Core EBITDA should strip out much of the special-item noise, so investors should distinguish between:</w:t>
      </w:r>
    </w:p>
    <w:p>
      <w:pPr>
        <w:pStyle w:val="Compact"/>
        <w:numPr>
          <w:ilvl w:val="0"/>
          <w:numId w:val="1006"/>
        </w:numPr>
      </w:pPr>
      <w:r>
        <w:rPr>
          <w:b/>
          <w:bCs/>
        </w:rPr>
        <w:t xml:space="preserve">Underlying operating momentum</w:t>
      </w:r>
      <w:r>
        <w:t xml:space="preserve">, and</w:t>
      </w:r>
    </w:p>
    <w:p>
      <w:pPr>
        <w:pStyle w:val="Compact"/>
        <w:numPr>
          <w:ilvl w:val="0"/>
          <w:numId w:val="1006"/>
        </w:numPr>
      </w:pPr>
      <w:r>
        <w:rPr>
          <w:b/>
          <w:bCs/>
        </w:rPr>
        <w:t xml:space="preserve">GAAP EPS and cash-flow timing effects</w:t>
      </w:r>
      <w:r>
        <w:t xml:space="preserve"> </w:t>
      </w:r>
      <w:r>
        <w:t xml:space="preserve">from integration and restructuring.</w:t>
      </w:r>
    </w:p>
    <w:p>
      <w:pPr>
        <w:pStyle w:val="FirstParagraph"/>
      </w:pPr>
      <w:r>
        <w:t xml:space="preserve">Management’s commentary around rural-market share, customer migrations, network conversion, and synergy realization may matter more than the reported EPS result.</w:t>
      </w:r>
    </w:p>
    <w:bookmarkEnd w:id="14"/>
    <w:bookmarkStart w:id="15" w:name="X10d1e1b55881e7be6d3369454227975b7475f64"/>
    <w:p>
      <w:pPr>
        <w:pStyle w:val="Heading3"/>
      </w:pPr>
      <w:r>
        <w:t xml:space="preserve">5. Guidance: hold versus raise</w:t>
      </w:r>
    </w:p>
    <w:p>
      <w:pPr>
        <w:pStyle w:val="FirstParagraph"/>
      </w:pPr>
      <w:r>
        <w:t xml:space="preserve">After Q1, TMUS raised 2026 guidance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w:t>
            </w:r>
          </w:p>
        </w:tc>
        <w:tc>
          <w:tcPr/>
          <w:p>
            <w:pPr>
              <w:pStyle w:val="Compact"/>
              <w:jc w:val="right"/>
            </w:pPr>
            <w:r>
              <w:t xml:space="preserve">Current range</w:t>
            </w:r>
          </w:p>
        </w:tc>
      </w:tr>
      <w:tr>
        <w:tc>
          <w:tcPr/>
          <w:p>
            <w:pPr>
              <w:pStyle w:val="Compact"/>
            </w:pPr>
            <w:r>
              <w:t xml:space="preserve">Postpaid net account adds</w:t>
            </w:r>
          </w:p>
        </w:tc>
        <w:tc>
          <w:tcPr/>
          <w:p>
            <w:pPr>
              <w:pStyle w:val="Compact"/>
              <w:jc w:val="right"/>
            </w:pPr>
            <w:r>
              <w:rPr>
                <w:b/>
                <w:bCs/>
              </w:rPr>
              <w:t xml:space="preserve">950K–1.05M</w:t>
            </w:r>
          </w:p>
        </w:tc>
      </w:tr>
      <w:tr>
        <w:tc>
          <w:tcPr/>
          <w:p>
            <w:pPr>
              <w:pStyle w:val="Compact"/>
            </w:pPr>
            <w:r>
              <w:t xml:space="preserve">Core Adjusted EBITDA</w:t>
            </w:r>
          </w:p>
        </w:tc>
        <w:tc>
          <w:tcPr/>
          <w:p>
            <w:pPr>
              <w:pStyle w:val="Compact"/>
              <w:jc w:val="right"/>
            </w:pPr>
            <m:oMath>
              <m:r>
                <m:t>37.1</m:t>
              </m:r>
              <m:r>
                <m:t>B</m:t>
              </m:r>
              <m:r>
                <m:rPr>
                  <m:sty m:val="p"/>
                </m:rPr>
                <m:t>–</m:t>
              </m:r>
            </m:oMath>
            <w:r>
              <w:rPr>
                <w:b/>
                <w:bCs/>
              </w:rPr>
              <w:t xml:space="preserve">37.5B</w:t>
            </w:r>
          </w:p>
        </w:tc>
      </w:tr>
      <w:tr>
        <w:tc>
          <w:tcPr/>
          <w:p>
            <w:pPr>
              <w:pStyle w:val="Compact"/>
            </w:pPr>
            <w:r>
              <w:t xml:space="preserve">Adjusted free cash flow</w:t>
            </w:r>
          </w:p>
        </w:tc>
        <w:tc>
          <w:tcPr/>
          <w:p>
            <w:pPr>
              <w:pStyle w:val="Compact"/>
              <w:jc w:val="right"/>
            </w:pPr>
            <m:oMath>
              <m:r>
                <m:t>18.1</m:t>
              </m:r>
              <m:r>
                <m:t>B</m:t>
              </m:r>
              <m:r>
                <m:rPr>
                  <m:sty m:val="p"/>
                </m:rPr>
                <m:t>–</m:t>
              </m:r>
            </m:oMath>
            <w:r>
              <w:rPr>
                <w:b/>
                <w:bCs/>
              </w:rPr>
              <w:t xml:space="preserve">18.7B</w:t>
            </w:r>
          </w:p>
        </w:tc>
      </w:tr>
      <w:tr>
        <w:tc>
          <w:tcPr/>
          <w:p>
            <w:pPr>
              <w:pStyle w:val="Compact"/>
            </w:pPr>
            <w:r>
              <w:t xml:space="preserve">Cash CapEx</w:t>
            </w:r>
          </w:p>
        </w:tc>
        <w:tc>
          <w:tcPr/>
          <w:p>
            <w:pPr>
              <w:pStyle w:val="Compact"/>
              <w:jc w:val="right"/>
            </w:pPr>
            <w:r>
              <w:rPr>
                <w:b/>
                <w:bCs/>
              </w:rPr>
              <w:t xml:space="preserve">~$10.0B</w:t>
            </w:r>
          </w:p>
        </w:tc>
      </w:tr>
    </w:tbl>
    <w:p>
      <w:pPr>
        <w:pStyle w:val="BodyText"/>
      </w:pPr>
      <w:r>
        <w:t xml:space="preserve">If Q2 meets the Street’s 262K account-add expectation, first-half account adds would total roughly</w:t>
      </w:r>
      <w:r>
        <w:t xml:space="preserve"> </w:t>
      </w:r>
      <w:r>
        <w:rPr>
          <w:b/>
          <w:bCs/>
        </w:rPr>
        <w:t xml:space="preserve">479K</w:t>
      </w:r>
      <w:r>
        <w:t xml:space="preserve">. That would put the company near the midpoint pace of its full-year guide, but still require a seasonally stronger second half. Accordingly, a</w:t>
      </w:r>
      <w:r>
        <w:t xml:space="preserve"> </w:t>
      </w:r>
      <w:r>
        <w:rPr>
          <w:b/>
          <w:bCs/>
        </w:rPr>
        <w:t xml:space="preserve">guidance reiteration</w:t>
      </w:r>
      <w:r>
        <w:t xml:space="preserve"> </w:t>
      </w:r>
      <w:r>
        <w:t xml:space="preserve">would likely be sufficient if the KPI quality is strong; a raise would be a clear positive but should not be viewed as necessary for a constructive outcome.</w:t>
      </w:r>
    </w:p>
    <w:p>
      <w:pPr>
        <w:pStyle w:val="BodyText"/>
      </w:pPr>
      <w:r>
        <w:t xml:space="preserve">The biggest risk is a reduction in the implied second-half outlook through softer commentary on accounts, ARPA, broadband, or integration—not necessarily an explicit guide cut.</w:t>
      </w:r>
    </w:p>
    <w:bookmarkEnd w:id="15"/>
    <w:bookmarkEnd w:id="16"/>
    <w:bookmarkStart w:id="17" w:name="Xcd41c9dfd9b081938eda8615761a2bf70d98485"/>
    <w:p>
      <w:pPr>
        <w:pStyle w:val="Heading2"/>
      </w:pPr>
      <w:r>
        <w:t xml:space="preserve">Satellite/Starlink: the key external narrative</w:t>
      </w:r>
    </w:p>
    <w:p>
      <w:pPr>
        <w:pStyle w:val="FirstParagraph"/>
      </w:pPr>
      <w:r>
        <w:t xml:space="preserve">TMUS shares have been pressured by fears that Starlink or other low-Earth-orbit offerings could become more meaningful wireless or broadband competitors. T-Mobile’s position is notably different:</w:t>
      </w:r>
    </w:p>
    <w:p>
      <w:pPr>
        <w:pStyle w:val="Compact"/>
        <w:numPr>
          <w:ilvl w:val="0"/>
          <w:numId w:val="1007"/>
        </w:numPr>
      </w:pPr>
      <w:r>
        <w:t xml:space="preserve">It views</w:t>
      </w:r>
      <w:r>
        <w:t xml:space="preserve"> </w:t>
      </w:r>
      <w:r>
        <w:rPr>
          <w:b/>
          <w:bCs/>
        </w:rPr>
        <w:t xml:space="preserve">direct-to-cell satellite</w:t>
      </w:r>
      <w:r>
        <w:t xml:space="preserve"> </w:t>
      </w:r>
      <w:r>
        <w:t xml:space="preserve">as a complementary coverage product, not a substitute for terrestrial mobile networks.</w:t>
      </w:r>
    </w:p>
    <w:p>
      <w:pPr>
        <w:pStyle w:val="Compact"/>
        <w:numPr>
          <w:ilvl w:val="0"/>
          <w:numId w:val="1007"/>
        </w:numPr>
      </w:pPr>
      <w:r>
        <w:t xml:space="preserve">It has partnered with SpaceX on satellite connectivity and has positioned satellite as part of a business-redundancy offering alongside its fixed-wireless product.</w:t>
      </w:r>
    </w:p>
    <w:p>
      <w:pPr>
        <w:pStyle w:val="Compact"/>
        <w:numPr>
          <w:ilvl w:val="0"/>
          <w:numId w:val="1007"/>
        </w:numPr>
      </w:pPr>
      <w:r>
        <w:t xml:space="preserve">Management has argued that satellite broadband is most compelling in rural or underserved areas, rather than dense urban areas where terrestrial wireless and fiber economics are stronger.</w:t>
      </w:r>
    </w:p>
    <w:p>
      <w:pPr>
        <w:pStyle w:val="FirstParagraph"/>
      </w:pPr>
      <w:r>
        <w:t xml:space="preserve">The earnings call is an opportunity for management to sharpen this distinction. A clear articulation of the economics, customer use cases, and commercial relationship with SpaceX could help counter a narrative that satellite is an unqualified threat to TMUS’s broadband opportunity.</w:t>
      </w:r>
    </w:p>
    <w:bookmarkEnd w:id="17"/>
    <w:bookmarkStart w:id="18" w:name="X6f544561effb8bf46745ca5ab2ed340e645ba48"/>
    <w:p>
      <w:pPr>
        <w:pStyle w:val="Heading2"/>
      </w:pPr>
      <w:r>
        <w:t xml:space="preserve">Capital returns remain a meaningful support</w:t>
      </w:r>
    </w:p>
    <w:p>
      <w:pPr>
        <w:pStyle w:val="FirstParagraph"/>
      </w:pPr>
      <w:r>
        <w:t xml:space="preserve">T-Mobile returned</w:t>
      </w:r>
      <w:r>
        <w:t xml:space="preserve"> </w:t>
      </w:r>
      <m:oMath>
        <m:r>
          <m:t>6.0</m:t>
        </m:r>
        <m:r>
          <m:t>B</m:t>
        </m:r>
        <m:r>
          <m:rPr>
            <m:sty m:val="p"/>
          </m:rPr>
          <m:t>*</m:t>
        </m:r>
        <m:r>
          <m:rPr>
            <m:sty m:val="p"/>
          </m:rPr>
          <m:t>*</m:t>
        </m:r>
        <m:r>
          <m:t>t</m:t>
        </m:r>
        <m:r>
          <m:t>o</m:t>
        </m:r>
        <m:r>
          <m:t>s</m:t>
        </m:r>
        <m:r>
          <m:t>h</m:t>
        </m:r>
        <m:r>
          <m:t>a</m:t>
        </m:r>
        <m:r>
          <m:t>r</m:t>
        </m:r>
        <m:r>
          <m:t>e</m:t>
        </m:r>
        <m:r>
          <m:t>h</m:t>
        </m:r>
        <m:r>
          <m:t>o</m:t>
        </m:r>
        <m:r>
          <m:t>l</m:t>
        </m:r>
        <m:r>
          <m:t>d</m:t>
        </m:r>
        <m:r>
          <m:t>e</m:t>
        </m:r>
        <m:r>
          <m:t>r</m:t>
        </m:r>
        <m:r>
          <m:t>s</m:t>
        </m:r>
        <m:r>
          <m:t>i</m:t>
        </m:r>
        <m:r>
          <m:t>n</m:t>
        </m:r>
        <m:r>
          <m:t>Q</m:t>
        </m:r>
        <m:r>
          <m:t>1</m:t>
        </m:r>
        <m:r>
          <m:rPr>
            <m:sty m:val="p"/>
          </m:rPr>
          <m:t>,</m:t>
        </m:r>
        <m:r>
          <m:t>i</m:t>
        </m:r>
        <m:r>
          <m:t>n</m:t>
        </m:r>
        <m:r>
          <m:t>c</m:t>
        </m:r>
        <m:r>
          <m:t>l</m:t>
        </m:r>
        <m:r>
          <m:t>u</m:t>
        </m:r>
        <m:r>
          <m:t>d</m:t>
        </m:r>
        <m:r>
          <m:t>i</m:t>
        </m:r>
        <m:r>
          <m:t>n</m:t>
        </m:r>
        <m:r>
          <m:t>g</m:t>
        </m:r>
        <m:r>
          <m:rPr>
            <m:sty m:val="p"/>
          </m:rPr>
          <m:t>*</m:t>
        </m:r>
        <m:r>
          <m:rPr>
            <m:sty m:val="p"/>
          </m:rPr>
          <m:t>*</m:t>
        </m:r>
      </m:oMath>
      <w:r>
        <w:rPr>
          <w:b/>
          <w:bCs/>
        </w:rPr>
        <w:t xml:space="preserve">4.9B of buybacks</w:t>
      </w:r>
      <w:r>
        <w:t xml:space="preserve"> </w:t>
      </w:r>
      <w:r>
        <w:t xml:space="preserve">and</w:t>
      </w:r>
      <w:r>
        <w:t xml:space="preserve"> </w:t>
      </w:r>
      <w:r>
        <w:rPr>
          <w:b/>
          <w:bCs/>
        </w:rPr>
        <w:t xml:space="preserve">$1.1B of dividends</w:t>
      </w:r>
      <w:r>
        <w:t xml:space="preserve">. The board subsequently increased the 2026 shareholder-return authorization to</w:t>
      </w:r>
      <w:r>
        <w:t xml:space="preserve"> </w:t>
      </w:r>
      <w:r>
        <w:rPr>
          <w:b/>
          <w:bCs/>
        </w:rPr>
        <w:t xml:space="preserve">up to $18.2B</w:t>
      </w:r>
      <w:r>
        <w:t xml:space="preserve">.</w:t>
      </w:r>
    </w:p>
    <w:p>
      <w:pPr>
        <w:pStyle w:val="BodyText"/>
      </w:pPr>
      <w:r>
        <w:t xml:space="preserve">This matters for the Q2 setup because TMUS closed at</w:t>
      </w:r>
      <w:r>
        <w:t xml:space="preserve"> </w:t>
      </w:r>
      <w:r>
        <w:rPr>
          <w:b/>
          <w:bCs/>
        </w:rPr>
        <w:t xml:space="preserve">$190.97 on July 22</w:t>
      </w:r>
      <w:r>
        <w:t xml:space="preserve">, down roughly</w:t>
      </w:r>
      <w:r>
        <w:t xml:space="preserve"> </w:t>
      </w:r>
      <w:r>
        <w:rPr>
          <w:b/>
          <w:bCs/>
        </w:rPr>
        <w:t xml:space="preserve">5.9% year-to-date</w:t>
      </w:r>
      <w:r>
        <w:t xml:space="preserve"> </w:t>
      </w:r>
      <w:r>
        <w:t xml:space="preserve">and well below its February high, despite continued strong operating execution. Management has previously characterized buybacks as informed by the gap between the share price and its assessment of intrinsic value. Confirmation of sustained repurchase activity would therefore be supportive, particularly if guidance is maintained.</w:t>
      </w:r>
    </w:p>
    <w:bookmarkEnd w:id="18"/>
    <w:bookmarkStart w:id="22" w:name="potential-outcomes"/>
    <w:p>
      <w:pPr>
        <w:pStyle w:val="Heading2"/>
      </w:pPr>
      <w:r>
        <w:t xml:space="preserve">Potential outcomes</w:t>
      </w:r>
    </w:p>
    <w:bookmarkStart w:id="19" w:name="bull-case"/>
    <w:p>
      <w:pPr>
        <w:pStyle w:val="Heading3"/>
      </w:pPr>
      <w:r>
        <w:t xml:space="preserve">Bull case</w:t>
      </w:r>
    </w:p>
    <w:p>
      <w:pPr>
        <w:pStyle w:val="Compact"/>
        <w:numPr>
          <w:ilvl w:val="0"/>
          <w:numId w:val="1008"/>
        </w:numPr>
      </w:pPr>
      <w:r>
        <w:t xml:space="preserve">Postpaid account additions beat the 262K consensus;</w:t>
      </w:r>
    </w:p>
    <w:p>
      <w:pPr>
        <w:pStyle w:val="Compact"/>
        <w:numPr>
          <w:ilvl w:val="0"/>
          <w:numId w:val="1008"/>
        </w:numPr>
      </w:pPr>
      <w:r>
        <w:t xml:space="preserve">Core EBITDA exceeds the roughly $9.4B guide;</w:t>
      </w:r>
    </w:p>
    <w:p>
      <w:pPr>
        <w:pStyle w:val="Compact"/>
        <w:numPr>
          <w:ilvl w:val="0"/>
          <w:numId w:val="1008"/>
        </w:numPr>
      </w:pPr>
      <w:r>
        <w:t xml:space="preserve">ARPA lands around the expected ~2% or better, with confidence in second-half acceleration;</w:t>
      </w:r>
    </w:p>
    <w:p>
      <w:pPr>
        <w:pStyle w:val="Compact"/>
        <w:numPr>
          <w:ilvl w:val="0"/>
          <w:numId w:val="1008"/>
        </w:numPr>
      </w:pPr>
      <w:r>
        <w:t xml:space="preserve">Fixed-wireless additions remain strong;</w:t>
      </w:r>
    </w:p>
    <w:p>
      <w:pPr>
        <w:pStyle w:val="Compact"/>
        <w:numPr>
          <w:ilvl w:val="0"/>
          <w:numId w:val="1008"/>
        </w:numPr>
      </w:pPr>
      <w:r>
        <w:t xml:space="preserve">UScellular integration is on schedule, churn is controlled, and cash-cost expectations are unchanged;</w:t>
      </w:r>
    </w:p>
    <w:p>
      <w:pPr>
        <w:pStyle w:val="Compact"/>
        <w:numPr>
          <w:ilvl w:val="0"/>
          <w:numId w:val="1008"/>
        </w:numPr>
      </w:pPr>
      <w:r>
        <w:t xml:space="preserve">Management raises guidance or communicates increased confidence in the high end.</w:t>
      </w:r>
    </w:p>
    <w:bookmarkEnd w:id="19"/>
    <w:bookmarkStart w:id="20" w:name="base-case"/>
    <w:p>
      <w:pPr>
        <w:pStyle w:val="Heading3"/>
      </w:pPr>
      <w:r>
        <w:t xml:space="preserve">Base case</w:t>
      </w:r>
    </w:p>
    <w:p>
      <w:pPr>
        <w:pStyle w:val="Compact"/>
        <w:numPr>
          <w:ilvl w:val="0"/>
          <w:numId w:val="1009"/>
        </w:numPr>
      </w:pPr>
      <w:r>
        <w:t xml:space="preserve">Results are broadly in line with the Q2 framework management provided in April;</w:t>
      </w:r>
    </w:p>
    <w:p>
      <w:pPr>
        <w:pStyle w:val="Compact"/>
        <w:numPr>
          <w:ilvl w:val="0"/>
          <w:numId w:val="1009"/>
        </w:numPr>
      </w:pPr>
      <w:r>
        <w:t xml:space="preserve">Account adds are solid but below the unusually strong Q2 2025 comparison;</w:t>
      </w:r>
    </w:p>
    <w:p>
      <w:pPr>
        <w:pStyle w:val="Compact"/>
        <w:numPr>
          <w:ilvl w:val="0"/>
          <w:numId w:val="1009"/>
        </w:numPr>
      </w:pPr>
      <w:r>
        <w:t xml:space="preserve">ARPA decelerates as expected;</w:t>
      </w:r>
    </w:p>
    <w:p>
      <w:pPr>
        <w:pStyle w:val="Compact"/>
        <w:numPr>
          <w:ilvl w:val="0"/>
          <w:numId w:val="1009"/>
        </w:numPr>
      </w:pPr>
      <w:r>
        <w:t xml:space="preserve">Full-year guidance is reiterated;</w:t>
      </w:r>
    </w:p>
    <w:p>
      <w:pPr>
        <w:pStyle w:val="Compact"/>
        <w:numPr>
          <w:ilvl w:val="0"/>
          <w:numId w:val="1009"/>
        </w:numPr>
      </w:pPr>
      <w:r>
        <w:t xml:space="preserve">The stock reaction is driven more by the tone around competition, Starlink, and second-half growth than by the headline numbers.</w:t>
      </w:r>
    </w:p>
    <w:bookmarkEnd w:id="20"/>
    <w:bookmarkStart w:id="21" w:name="bear-case"/>
    <w:p>
      <w:pPr>
        <w:pStyle w:val="Heading3"/>
      </w:pPr>
      <w:r>
        <w:t xml:space="preserve">Bear case</w:t>
      </w:r>
    </w:p>
    <w:p>
      <w:pPr>
        <w:pStyle w:val="Compact"/>
        <w:numPr>
          <w:ilvl w:val="0"/>
          <w:numId w:val="1010"/>
        </w:numPr>
      </w:pPr>
      <w:r>
        <w:t xml:space="preserve">Account adds disappoint meaningfully, suggesting intensified competition or weaker switching activity;</w:t>
      </w:r>
    </w:p>
    <w:p>
      <w:pPr>
        <w:pStyle w:val="Compact"/>
        <w:numPr>
          <w:ilvl w:val="0"/>
          <w:numId w:val="1010"/>
        </w:numPr>
      </w:pPr>
      <w:r>
        <w:t xml:space="preserve">ARPA undershoots the expected Q2 slowdown;</w:t>
      </w:r>
    </w:p>
    <w:p>
      <w:pPr>
        <w:pStyle w:val="Compact"/>
        <w:numPr>
          <w:ilvl w:val="0"/>
          <w:numId w:val="1010"/>
        </w:numPr>
      </w:pPr>
      <w:r>
        <w:t xml:space="preserve">Broadband growth moderates more than expected;</w:t>
      </w:r>
    </w:p>
    <w:p>
      <w:pPr>
        <w:pStyle w:val="Compact"/>
        <w:numPr>
          <w:ilvl w:val="0"/>
          <w:numId w:val="1010"/>
        </w:numPr>
      </w:pPr>
      <w:r>
        <w:t xml:space="preserve">Integration cash costs, churn, or synergy timing worsen;</w:t>
      </w:r>
    </w:p>
    <w:p>
      <w:pPr>
        <w:pStyle w:val="Compact"/>
        <w:numPr>
          <w:ilvl w:val="0"/>
          <w:numId w:val="1010"/>
        </w:numPr>
      </w:pPr>
      <w:r>
        <w:t xml:space="preserve">Management’s commentary reduces confidence in the second-half ARPA and service-revenue trajectory.</w:t>
      </w:r>
    </w:p>
    <w:bookmarkEnd w:id="21"/>
    <w:bookmarkEnd w:id="22"/>
    <w:bookmarkStart w:id="24" w:name="bottom-line"/>
    <w:p>
      <w:pPr>
        <w:pStyle w:val="Heading2"/>
      </w:pPr>
      <w:r>
        <w:t xml:space="preserve">Bottom line</w:t>
      </w:r>
    </w:p>
    <w:p>
      <w:pPr>
        <w:pStyle w:val="FirstParagraph"/>
      </w:pPr>
      <w:r>
        <w:t xml:space="preserve">TMUS is reporting with a high-quality but not effortless setup. The company has already told investors to expect roughly</w:t>
      </w:r>
      <w:r>
        <w:t xml:space="preserve"> </w:t>
      </w:r>
      <w:r>
        <w:rPr>
          <w:b/>
          <w:bCs/>
        </w:rPr>
        <w:t xml:space="preserve">$9.4B of Q2 Core Adjusted EBITDA</w:t>
      </w:r>
      <w:r>
        <w:t xml:space="preserve"> </w:t>
      </w:r>
      <w:r>
        <w:t xml:space="preserve">and softer ARPA growth, so the headline financial result alone is unlikely to determine the reaction.</w:t>
      </w:r>
    </w:p>
    <w:p>
      <w:pPr>
        <w:pStyle w:val="BodyText"/>
      </w:pPr>
      <w:r>
        <w:t xml:space="preserve">The decisive variables are</w:t>
      </w:r>
      <w:r>
        <w:t xml:space="preserve"> </w:t>
      </w:r>
      <w:r>
        <w:rPr>
          <w:b/>
          <w:bCs/>
        </w:rPr>
        <w:t xml:space="preserve">postpaid account-add quality, ARPA durability, fixed-wireless momentum, UScellular integration execution, and confidence in the second-half trajectory</w:t>
      </w:r>
      <w:r>
        <w:t xml:space="preserve">. If T-Mobile can show that it remains the industry’s share gainer while preserving premium-plan mix, cash generation, and capital-allocation discipline, the report should reinforce the long-term thesis—and potentially help neutralize the satellite-driven overhang on the shares.</w:t>
      </w:r>
    </w:p>
    <w:bookmarkStart w:id="23" w:name="research-basis"/>
    <w:p>
      <w:pPr>
        <w:pStyle w:val="Heading3"/>
      </w:pPr>
      <w:r>
        <w:t xml:space="preserve">Research basis</w:t>
      </w:r>
    </w:p>
    <w:p>
      <w:pPr>
        <w:pStyle w:val="Compact"/>
        <w:numPr>
          <w:ilvl w:val="0"/>
          <w:numId w:val="1011"/>
        </w:numPr>
      </w:pPr>
      <w:r>
        <w:t xml:space="preserve">T-Mobile Q1 2026 earnings release and earnings-call transcript</w:t>
      </w:r>
    </w:p>
    <w:p>
      <w:pPr>
        <w:pStyle w:val="Compact"/>
        <w:numPr>
          <w:ilvl w:val="0"/>
          <w:numId w:val="1011"/>
        </w:numPr>
      </w:pPr>
      <w:r>
        <w:t xml:space="preserve">T-Mobile February 2026 Capital Markets Day update</w:t>
      </w:r>
    </w:p>
    <w:p>
      <w:pPr>
        <w:pStyle w:val="Compact"/>
        <w:numPr>
          <w:ilvl w:val="0"/>
          <w:numId w:val="1011"/>
        </w:numPr>
      </w:pPr>
      <w:r>
        <w:t xml:space="preserve">T-Mobile July 7, 2026 leadership announcement</w:t>
      </w:r>
    </w:p>
    <w:p>
      <w:pPr>
        <w:pStyle w:val="Compact"/>
        <w:numPr>
          <w:ilvl w:val="0"/>
          <w:numId w:val="1011"/>
        </w:numPr>
      </w:pPr>
      <w:r>
        <w:t xml:space="preserve">T-Mobile Q2 2025 earnings release</w:t>
      </w:r>
    </w:p>
    <w:p>
      <w:pPr>
        <w:pStyle w:val="Compact"/>
        <w:numPr>
          <w:ilvl w:val="0"/>
          <w:numId w:val="1011"/>
        </w:numPr>
      </w:pPr>
      <w:r>
        <w:t xml:space="preserve">TMUS market-price data through July 22, 2026</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2026-07-23T00:06:26Z</dcterms:created>
  <dcterms:modified xsi:type="dcterms:W3CDTF">2026-07-23T00:06:26Z</dcterms:modified>
</cp:coreProperties>
</file>

<file path=docProps/custom.xml><?xml version="1.0" encoding="utf-8"?>
<Properties xmlns="http://schemas.openxmlformats.org/officeDocument/2006/custom-properties" xmlns:vt="http://schemas.openxmlformats.org/officeDocument/2006/docPropsVTypes"/>
</file>