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T-Mobile US (TMUS)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T-Mobile US, Inc.</w:t>
            </w:r>
          </w:p>
        </w:tc>
      </w:tr>
      <w:tr>
        <w:tc>
          <w:tcPr>
            <w:tcW w:type="dxa" w:w="4320"/>
          </w:tcPr>
          <w:p>
            <w:r>
              <w:rPr>
                <w:rFonts w:ascii="Calibri" w:hAnsi="Calibri"/>
                <w:b/>
                <w:sz w:val="22"/>
              </w:rPr>
              <w:t>Ticker</w:t>
            </w:r>
          </w:p>
        </w:tc>
        <w:tc>
          <w:tcPr>
            <w:tcW w:type="dxa" w:w="4320"/>
          </w:tcPr>
          <w:p>
            <w:r>
              <w:rPr>
                <w:rFonts w:ascii="Calibri" w:hAnsi="Calibri"/>
                <w:sz w:val="22"/>
              </w:rPr>
              <w:t>TMUS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23, 2026 — Pre-market (7:30 AM ET)</w:t>
            </w:r>
          </w:p>
        </w:tc>
      </w:tr>
      <w:tr>
        <w:tc>
          <w:tcPr>
            <w:tcW w:type="dxa" w:w="4320"/>
          </w:tcPr>
          <w:p>
            <w:r>
              <w:rPr>
                <w:rFonts w:ascii="Calibri" w:hAnsi="Calibri"/>
                <w:b/>
                <w:sz w:val="22"/>
              </w:rPr>
              <w:t>Prepared</w:t>
            </w:r>
          </w:p>
        </w:tc>
        <w:tc>
          <w:tcPr>
            <w:tcW w:type="dxa" w:w="4320"/>
          </w:tcPr>
          <w:p>
            <w:r>
              <w:rPr>
                <w:rFonts w:ascii="Calibri" w:hAnsi="Calibri"/>
                <w:sz w:val="22"/>
              </w:rPr>
              <w:t>July 22, 2026</w:t>
            </w:r>
          </w:p>
        </w:tc>
      </w:tr>
      <w:tr>
        <w:tc>
          <w:tcPr>
            <w:tcW w:type="dxa" w:w="4320"/>
          </w:tcPr>
          <w:p>
            <w:r>
              <w:rPr>
                <w:rFonts w:ascii="Calibri" w:hAnsi="Calibri"/>
                <w:b/>
                <w:sz w:val="22"/>
              </w:rPr>
              <w:t>Last Earnings</w:t>
            </w:r>
          </w:p>
        </w:tc>
        <w:tc>
          <w:tcPr>
            <w:tcW w:type="dxa" w:w="4320"/>
          </w:tcPr>
          <w:p>
            <w:r>
              <w:rPr>
                <w:rFonts w:ascii="Calibri" w:hAnsi="Calibri"/>
                <w:sz w:val="22"/>
              </w:rPr>
              <w:t>April 28,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is achievable and management pre-guided the key swing factors — but the bar on postpaid account net adds and ARPA is well-understood, leaving limited room for a meaningful upside surprise; the single biggest swing factor is whether broadband net adds and ARPA re-acceleration in the back half are credible enough to lift full-year estimates.</w:t>
      </w:r>
    </w:p>
    <w:p>
      <w:r>
        <w:rPr>
          <w:rFonts w:ascii="Calibri" w:hAnsi="Calibri"/>
          <w:color w:val="525866"/>
          <w:sz w:val="22"/>
        </w:rPr>
        <w:t xml:space="preserve">Heading into the Q2 2026 print, T-Mobile's setup is one of managed expectations rather than a high-bar beat-or-miss moment. </w:t>
      </w:r>
      <w:r>
        <w:rPr>
          <w:rFonts w:ascii="Calibri" w:hAnsi="Calibri"/>
          <w:color w:val="525866"/>
          <w:sz w:val="22"/>
        </w:rPr>
        <w:t xml:space="preserve">Management explicitly guided Q2 Core Adjusted EBITDA to ~$9.4 billion (+10% YoY) and service revenue to ~$19 billion (+9% YoY) on the Q1 call, leaving consensus tightly anchored to those figures. </w:t>
      </w:r>
      <w:r>
        <w:rPr>
          <w:rFonts w:ascii="Calibri" w:hAnsi="Calibri"/>
          <w:color w:val="525866"/>
          <w:sz w:val="22"/>
        </w:rPr>
        <w:t xml:space="preserve">The most widely telegraphed headwind is ARPA moderation: management guided Q2 postpaid ARPA growth to ~2% YoY (vs. 3.9% in Q1), driven by lapping prior-year rate plan optimizations and the dilutive math from UScellular, Metronet, and Lumos customer additions — a known dynamic that is already in the numbers. </w:t>
      </w:r>
      <w:r>
        <w:rPr>
          <w:rFonts w:ascii="Calibri" w:hAnsi="Calibri"/>
          <w:color w:val="525866"/>
          <w:sz w:val="22"/>
        </w:rPr>
        <w:t xml:space="preserve">Estimate revisions have been essentially flat since the Q1 print, with EPS consensus drifting only marginally lower (~$2.58 vs. $2.58 at the post-Q1 baseline), suggesting the street has fully digested guidance and is not pricing in incremental upside. </w:t>
      </w:r>
      <w:r>
        <w:rPr>
          <w:rFonts w:ascii="Calibri" w:hAnsi="Calibri"/>
          <w:color w:val="525866"/>
          <w:sz w:val="22"/>
        </w:rPr>
        <w:t xml:space="preserve">The stock has underperformed XLC and the S&amp;P 500 since last earnings (down ~2% vs. the market's +5%), with multiple compression the dominant driver of the 12-month decline, creating a modestly undemanding entry point. </w:t>
      </w:r>
      <w:r>
        <w:rPr>
          <w:rFonts w:ascii="Calibri" w:hAnsi="Calibri"/>
          <w:color w:val="525866"/>
          <w:sz w:val="22"/>
        </w:rPr>
        <w:t>The key wildcard is whether postpaid account net adds — consensus at ~259K vs. management's full-year guide implying ~260K/quarter — come in above the line alongside any signal of ARPA re-acceleration in H2, which could catalyze a guidance raise and drive the stock higher.</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 management pre-guided the two most important line items (EBITDA and service revenue) with precision, so the real swing factor is postpaid account net adds and any signal on ARPA trajectory into H2. Broadband net adds are the secondary variable to watch.</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Mgmt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Service Revenue ($B)</w:t>
            </w:r>
          </w:p>
        </w:tc>
        <w:tc>
          <w:tcPr>
            <w:tcW w:type="dxa" w:w="1234"/>
          </w:tcPr>
          <w:p>
            <w:r>
              <w:rPr>
                <w:rFonts w:ascii="Calibri" w:hAnsi="Calibri"/>
                <w:sz w:val="22"/>
              </w:rPr>
              <w:t>$18.83B</w:t>
            </w:r>
          </w:p>
        </w:tc>
        <w:tc>
          <w:tcPr>
            <w:tcW w:type="dxa" w:w="1234"/>
          </w:tcPr>
          <w:p>
            <w:r>
              <w:rPr>
                <w:rFonts w:ascii="Calibri" w:hAnsi="Calibri"/>
                <w:sz w:val="22"/>
              </w:rPr>
              <w:t>$17.44B</w:t>
            </w:r>
          </w:p>
        </w:tc>
        <w:tc>
          <w:tcPr>
            <w:tcW w:type="dxa" w:w="1234"/>
          </w:tcPr>
          <w:p>
            <w:r>
              <w:rPr>
                <w:rFonts w:ascii="Calibri" w:hAnsi="Calibri"/>
                <w:sz w:val="22"/>
              </w:rPr>
              <w:t>$19.02B</w:t>
            </w:r>
          </w:p>
        </w:tc>
        <w:tc>
          <w:tcPr>
            <w:tcW w:type="dxa" w:w="1234"/>
          </w:tcPr>
          <w:p>
            <w:r>
              <w:rPr>
                <w:rFonts w:ascii="Calibri" w:hAnsi="Calibri"/>
                <w:sz w:val="22"/>
              </w:rPr>
              <w:t>+9.1% YoY</w:t>
            </w:r>
          </w:p>
        </w:tc>
        <w:tc>
          <w:tcPr>
            <w:tcW w:type="dxa" w:w="1234"/>
          </w:tcPr>
          <w:p>
            <w:r>
              <w:rPr>
                <w:rFonts w:ascii="Calibri" w:hAnsi="Calibri"/>
                <w:sz w:val="22"/>
              </w:rPr>
              <w:t>~$19.0B (+9% YoY)</w:t>
            </w:r>
          </w:p>
        </w:tc>
        <w:tc>
          <w:tcPr>
            <w:tcW w:type="dxa" w:w="1234"/>
          </w:tcPr>
          <w:p>
            <w:r>
              <w:rPr>
                <w:rFonts w:ascii="Calibri" w:hAnsi="Calibri"/>
                <w:sz w:val="22"/>
              </w:rPr>
              <w:t>+0.1%</w:t>
            </w:r>
          </w:p>
        </w:tc>
      </w:tr>
      <w:tr>
        <w:tc>
          <w:tcPr>
            <w:tcW w:type="dxa" w:w="1234"/>
          </w:tcPr>
          <w:p>
            <w:r>
              <w:rPr>
                <w:rFonts w:ascii="Calibri" w:hAnsi="Calibri"/>
                <w:sz w:val="22"/>
              </w:rPr>
              <w:t>Core Adjusted EBITDA ($B)</w:t>
            </w:r>
          </w:p>
        </w:tc>
        <w:tc>
          <w:tcPr>
            <w:tcW w:type="dxa" w:w="1234"/>
          </w:tcPr>
          <w:p>
            <w:r>
              <w:rPr>
                <w:rFonts w:ascii="Calibri" w:hAnsi="Calibri"/>
                <w:sz w:val="22"/>
              </w:rPr>
              <w:t>$9.24B</w:t>
            </w:r>
          </w:p>
        </w:tc>
        <w:tc>
          <w:tcPr>
            <w:tcW w:type="dxa" w:w="1234"/>
          </w:tcPr>
          <w:p>
            <w:r>
              <w:rPr>
                <w:rFonts w:ascii="Calibri" w:hAnsi="Calibri"/>
                <w:sz w:val="22"/>
              </w:rPr>
              <w:t>$8.54B</w:t>
            </w:r>
          </w:p>
        </w:tc>
        <w:tc>
          <w:tcPr>
            <w:tcW w:type="dxa" w:w="1234"/>
          </w:tcPr>
          <w:p>
            <w:r>
              <w:rPr>
                <w:rFonts w:ascii="Calibri" w:hAnsi="Calibri"/>
                <w:sz w:val="22"/>
              </w:rPr>
              <w:t>$9.40B</w:t>
            </w:r>
          </w:p>
        </w:tc>
        <w:tc>
          <w:tcPr>
            <w:tcW w:type="dxa" w:w="1234"/>
          </w:tcPr>
          <w:p>
            <w:r>
              <w:rPr>
                <w:rFonts w:ascii="Calibri" w:hAnsi="Calibri"/>
                <w:sz w:val="22"/>
              </w:rPr>
              <w:t>+10.1% YoY</w:t>
            </w:r>
          </w:p>
        </w:tc>
        <w:tc>
          <w:tcPr>
            <w:tcW w:type="dxa" w:w="1234"/>
          </w:tcPr>
          <w:p>
            <w:r>
              <w:rPr>
                <w:rFonts w:ascii="Calibri" w:hAnsi="Calibri"/>
                <w:sz w:val="22"/>
              </w:rPr>
              <w:t>~$9.4B (+10% YoY)</w:t>
            </w:r>
          </w:p>
        </w:tc>
        <w:tc>
          <w:tcPr>
            <w:tcW w:type="dxa" w:w="1234"/>
          </w:tcPr>
          <w:p>
            <w:r>
              <w:rPr>
                <w:rFonts w:ascii="Calibri" w:hAnsi="Calibri"/>
                <w:sz w:val="22"/>
              </w:rPr>
              <w:t>0.0%</w:t>
            </w:r>
          </w:p>
        </w:tc>
      </w:tr>
      <w:tr>
        <w:tc>
          <w:tcPr>
            <w:tcW w:type="dxa" w:w="1234"/>
          </w:tcPr>
          <w:p>
            <w:r>
              <w:rPr>
                <w:rFonts w:ascii="Calibri" w:hAnsi="Calibri"/>
                <w:sz w:val="22"/>
              </w:rPr>
              <w:t>Postpaid Account Net Adds (K)</w:t>
            </w:r>
          </w:p>
        </w:tc>
        <w:tc>
          <w:tcPr>
            <w:tcW w:type="dxa" w:w="1234"/>
          </w:tcPr>
          <w:p>
            <w:r>
              <w:rPr>
                <w:rFonts w:ascii="Calibri" w:hAnsi="Calibri"/>
                <w:sz w:val="22"/>
              </w:rPr>
              <w:t>217K</w:t>
            </w:r>
          </w:p>
        </w:tc>
        <w:tc>
          <w:tcPr>
            <w:tcW w:type="dxa" w:w="1234"/>
          </w:tcPr>
          <w:p>
            <w:r>
              <w:rPr>
                <w:rFonts w:ascii="Calibri" w:hAnsi="Calibri"/>
                <w:sz w:val="22"/>
              </w:rPr>
              <w:t>318K</w:t>
            </w:r>
          </w:p>
        </w:tc>
        <w:tc>
          <w:tcPr>
            <w:tcW w:type="dxa" w:w="1234"/>
          </w:tcPr>
          <w:p>
            <w:r>
              <w:rPr>
                <w:rFonts w:ascii="Calibri" w:hAnsi="Calibri"/>
                <w:sz w:val="22"/>
              </w:rPr>
              <w:t>259K</w:t>
            </w:r>
          </w:p>
        </w:tc>
        <w:tc>
          <w:tcPr>
            <w:tcW w:type="dxa" w:w="1234"/>
          </w:tcPr>
          <w:p>
            <w:r>
              <w:rPr>
                <w:rFonts w:ascii="Calibri" w:hAnsi="Calibri"/>
                <w:sz w:val="22"/>
              </w:rPr>
              <w:t>-18.6% YoY</w:t>
            </w:r>
          </w:p>
        </w:tc>
        <w:tc>
          <w:tcPr>
            <w:tcW w:type="dxa" w:w="1234"/>
          </w:tcPr>
          <w:p>
            <w:r>
              <w:rPr>
                <w:rFonts w:ascii="Calibri" w:hAnsi="Calibri"/>
                <w:sz w:val="22"/>
              </w:rPr>
              <w:t>FY guide: 950K–1,050K</w:t>
            </w:r>
          </w:p>
        </w:tc>
        <w:tc>
          <w:tcPr>
            <w:tcW w:type="dxa" w:w="1234"/>
          </w:tcPr>
          <w:p>
            <w:r>
              <w:rPr>
                <w:rFonts w:ascii="Calibri" w:hAnsi="Calibri"/>
                <w:sz w:val="22"/>
              </w:rPr>
              <w:t>N/A (quarterly)</w:t>
            </w:r>
          </w:p>
        </w:tc>
      </w:tr>
      <w:tr>
        <w:tc>
          <w:tcPr>
            <w:tcW w:type="dxa" w:w="1234"/>
          </w:tcPr>
          <w:p>
            <w:r>
              <w:rPr>
                <w:rFonts w:ascii="Calibri" w:hAnsi="Calibri"/>
                <w:sz w:val="22"/>
              </w:rPr>
              <w:t>Postpaid ARPA ($)</w:t>
            </w:r>
          </w:p>
        </w:tc>
        <w:tc>
          <w:tcPr>
            <w:tcW w:type="dxa" w:w="1234"/>
          </w:tcPr>
          <w:p>
            <w:r>
              <w:rPr>
                <w:rFonts w:ascii="Calibri" w:hAnsi="Calibri"/>
                <w:sz w:val="22"/>
              </w:rPr>
              <w:t>$151.93</w:t>
            </w:r>
          </w:p>
        </w:tc>
        <w:tc>
          <w:tcPr>
            <w:tcW w:type="dxa" w:w="1234"/>
          </w:tcPr>
          <w:p>
            <w:r>
              <w:rPr>
                <w:rFonts w:ascii="Calibri" w:hAnsi="Calibri"/>
                <w:sz w:val="22"/>
              </w:rPr>
              <w:t>$149.87</w:t>
            </w:r>
          </w:p>
        </w:tc>
        <w:tc>
          <w:tcPr>
            <w:tcW w:type="dxa" w:w="1234"/>
          </w:tcPr>
          <w:p>
            <w:r>
              <w:rPr>
                <w:rFonts w:ascii="Calibri" w:hAnsi="Calibri"/>
                <w:sz w:val="22"/>
              </w:rPr>
              <w:t>$153.01</w:t>
            </w:r>
          </w:p>
        </w:tc>
        <w:tc>
          <w:tcPr>
            <w:tcW w:type="dxa" w:w="1234"/>
          </w:tcPr>
          <w:p>
            <w:r>
              <w:rPr>
                <w:rFonts w:ascii="Calibri" w:hAnsi="Calibri"/>
                <w:sz w:val="22"/>
              </w:rPr>
              <w:t>+2.1% YoY</w:t>
            </w:r>
          </w:p>
        </w:tc>
        <w:tc>
          <w:tcPr>
            <w:tcW w:type="dxa" w:w="1234"/>
          </w:tcPr>
          <w:p>
            <w:r>
              <w:rPr>
                <w:rFonts w:ascii="Calibri" w:hAnsi="Calibri"/>
                <w:sz w:val="22"/>
              </w:rPr>
              <w:t>~2% YoY growth in Q2</w:t>
            </w:r>
          </w:p>
        </w:tc>
        <w:tc>
          <w:tcPr>
            <w:tcW w:type="dxa" w:w="1234"/>
          </w:tcPr>
          <w:p>
            <w:r>
              <w:rPr>
                <w:rFonts w:ascii="Calibri" w:hAnsi="Calibri"/>
                <w:sz w:val="22"/>
              </w:rPr>
              <w:t>+0.5%</w:t>
            </w:r>
          </w:p>
        </w:tc>
      </w:tr>
      <w:tr>
        <w:tc>
          <w:tcPr>
            <w:tcW w:type="dxa" w:w="1234"/>
          </w:tcPr>
          <w:p>
            <w:r>
              <w:rPr>
                <w:rFonts w:ascii="Calibri" w:hAnsi="Calibri"/>
                <w:sz w:val="22"/>
              </w:rPr>
              <w:t>Total Broadband Net Adds (K)</w:t>
            </w:r>
          </w:p>
        </w:tc>
        <w:tc>
          <w:tcPr>
            <w:tcW w:type="dxa" w:w="1234"/>
          </w:tcPr>
          <w:p>
            <w:r>
              <w:rPr>
                <w:rFonts w:ascii="Calibri" w:hAnsi="Calibri"/>
                <w:sz w:val="22"/>
              </w:rPr>
              <w:t>518K</w:t>
            </w:r>
          </w:p>
        </w:tc>
        <w:tc>
          <w:tcPr>
            <w:tcW w:type="dxa" w:w="1234"/>
          </w:tcPr>
          <w:p>
            <w:r>
              <w:rPr>
                <w:rFonts w:ascii="Calibri" w:hAnsi="Calibri"/>
                <w:sz w:val="22"/>
              </w:rPr>
              <w:t>470K</w:t>
            </w:r>
          </w:p>
        </w:tc>
        <w:tc>
          <w:tcPr>
            <w:tcW w:type="dxa" w:w="1234"/>
          </w:tcPr>
          <w:p>
            <w:r>
              <w:rPr>
                <w:rFonts w:ascii="Calibri" w:hAnsi="Calibri"/>
                <w:sz w:val="22"/>
              </w:rPr>
              <w:t>510K</w:t>
            </w:r>
          </w:p>
        </w:tc>
        <w:tc>
          <w:tcPr>
            <w:tcW w:type="dxa" w:w="1234"/>
          </w:tcPr>
          <w:p>
            <w:r>
              <w:rPr>
                <w:rFonts w:ascii="Calibri" w:hAnsi="Calibri"/>
                <w:sz w:val="22"/>
              </w:rPr>
              <w:t>+8.5% YoY</w:t>
            </w:r>
          </w:p>
        </w:tc>
        <w:tc>
          <w:tcPr>
            <w:tcW w:type="dxa" w:w="1234"/>
          </w:tcPr>
          <w:p>
            <w:r>
              <w:rPr>
                <w:rFonts w:ascii="Calibri" w:hAnsi="Calibri"/>
                <w:sz w:val="22"/>
              </w:rPr>
              <w:t>FY guide: ~2.1M</w:t>
            </w:r>
          </w:p>
        </w:tc>
        <w:tc>
          <w:tcPr>
            <w:tcW w:type="dxa" w:w="1234"/>
          </w:tcPr>
          <w:p>
            <w:r>
              <w:rPr>
                <w:rFonts w:ascii="Calibri" w:hAnsi="Calibri"/>
                <w:sz w:val="22"/>
              </w:rPr>
              <w:t>N/A (quarterly)</w:t>
            </w:r>
          </w:p>
        </w:tc>
      </w:tr>
      <w:tr>
        <w:tc>
          <w:tcPr>
            <w:tcW w:type="dxa" w:w="1234"/>
          </w:tcPr>
          <w:p>
            <w:r>
              <w:rPr>
                <w:rFonts w:ascii="Calibri" w:hAnsi="Calibri"/>
                <w:sz w:val="22"/>
              </w:rPr>
              <w:t>Diluted EPS ($)</w:t>
            </w:r>
          </w:p>
        </w:tc>
        <w:tc>
          <w:tcPr>
            <w:tcW w:type="dxa" w:w="1234"/>
          </w:tcPr>
          <w:p>
            <w:r>
              <w:rPr>
                <w:rFonts w:ascii="Calibri" w:hAnsi="Calibri"/>
                <w:sz w:val="22"/>
              </w:rPr>
              <w:t>$2.27</w:t>
            </w:r>
          </w:p>
        </w:tc>
        <w:tc>
          <w:tcPr>
            <w:tcW w:type="dxa" w:w="1234"/>
          </w:tcPr>
          <w:p>
            <w:r>
              <w:rPr>
                <w:rFonts w:ascii="Calibri" w:hAnsi="Calibri"/>
                <w:sz w:val="22"/>
              </w:rPr>
              <w:t>$2.84</w:t>
            </w:r>
          </w:p>
        </w:tc>
        <w:tc>
          <w:tcPr>
            <w:tcW w:type="dxa" w:w="1234"/>
          </w:tcPr>
          <w:p>
            <w:r>
              <w:rPr>
                <w:rFonts w:ascii="Calibri" w:hAnsi="Calibri"/>
                <w:sz w:val="22"/>
              </w:rPr>
              <w:t>$2.58</w:t>
            </w:r>
          </w:p>
        </w:tc>
        <w:tc>
          <w:tcPr>
            <w:tcW w:type="dxa" w:w="1234"/>
          </w:tcPr>
          <w:p>
            <w:r>
              <w:rPr>
                <w:rFonts w:ascii="Calibri" w:hAnsi="Calibri"/>
                <w:sz w:val="22"/>
              </w:rPr>
              <w:t>-9.2% YoY</w:t>
            </w:r>
          </w:p>
        </w:tc>
        <w:tc>
          <w:tcPr>
            <w:tcW w:type="dxa" w:w="1234"/>
          </w:tcPr>
          <w:p>
            <w:r>
              <w:rPr>
                <w:rFonts w:ascii="Calibri" w:hAnsi="Calibri"/>
                <w:sz w:val="22"/>
              </w:rPr>
              <w:t>N/A (not guided)</w:t>
            </w:r>
          </w:p>
        </w:tc>
        <w:tc>
          <w:tcPr>
            <w:tcW w:type="dxa" w:w="1234"/>
          </w:tcPr>
          <w:p>
            <w:r>
              <w:rPr>
                <w:rFonts w:ascii="Calibri" w:hAnsi="Calibri"/>
                <w:sz w:val="22"/>
              </w:rPr>
              <w:t>N/A</w:t>
            </w:r>
          </w:p>
        </w:tc>
      </w:tr>
      <w:tr>
        <w:tc>
          <w:tcPr>
            <w:tcW w:type="dxa" w:w="1234"/>
          </w:tcPr>
          <w:p>
            <w:r>
              <w:rPr>
                <w:rFonts w:ascii="Calibri" w:hAnsi="Calibri"/>
                <w:sz w:val="22"/>
              </w:rPr>
              <w:t>Adjusted Free Cash Flow ($B)</w:t>
            </w:r>
          </w:p>
        </w:tc>
        <w:tc>
          <w:tcPr>
            <w:tcW w:type="dxa" w:w="1234"/>
          </w:tcPr>
          <w:p>
            <w:r>
              <w:rPr>
                <w:rFonts w:ascii="Calibri" w:hAnsi="Calibri"/>
                <w:sz w:val="22"/>
              </w:rPr>
              <w:t>$4.60B</w:t>
            </w:r>
          </w:p>
        </w:tc>
        <w:tc>
          <w:tcPr>
            <w:tcW w:type="dxa" w:w="1234"/>
          </w:tcPr>
          <w:p>
            <w:r>
              <w:rPr>
                <w:rFonts w:ascii="Calibri" w:hAnsi="Calibri"/>
                <w:sz w:val="22"/>
              </w:rPr>
              <w:t>$4.60B</w:t>
            </w:r>
          </w:p>
        </w:tc>
        <w:tc>
          <w:tcPr>
            <w:tcW w:type="dxa" w:w="1234"/>
          </w:tcPr>
          <w:p>
            <w:r>
              <w:rPr>
                <w:rFonts w:ascii="Calibri" w:hAnsi="Calibri"/>
                <w:sz w:val="22"/>
              </w:rPr>
              <w:t>$4.53B</w:t>
            </w:r>
          </w:p>
        </w:tc>
        <w:tc>
          <w:tcPr>
            <w:tcW w:type="dxa" w:w="1234"/>
          </w:tcPr>
          <w:p>
            <w:r>
              <w:rPr>
                <w:rFonts w:ascii="Calibri" w:hAnsi="Calibri"/>
                <w:sz w:val="22"/>
              </w:rPr>
              <w:t>-1.5% YoY</w:t>
            </w:r>
          </w:p>
        </w:tc>
        <w:tc>
          <w:tcPr>
            <w:tcW w:type="dxa" w:w="1234"/>
          </w:tcPr>
          <w:p>
            <w:r>
              <w:rPr>
                <w:rFonts w:ascii="Calibri" w:hAnsi="Calibri"/>
                <w:sz w:val="22"/>
              </w:rPr>
              <w:t>FY guide: $18.1B–$18.7B</w:t>
            </w:r>
          </w:p>
        </w:tc>
        <w:tc>
          <w:tcPr>
            <w:tcW w:type="dxa" w:w="1234"/>
          </w:tcPr>
          <w:p>
            <w:r>
              <w:rPr>
                <w:rFonts w:ascii="Calibri" w:hAnsi="Calibri"/>
                <w:sz w:val="22"/>
              </w:rPr>
              <w:t>N/A (quarterly)</w:t>
            </w:r>
          </w:p>
        </w:tc>
      </w:tr>
    </w:tbl>
    <w:p>
      <w:r>
        <w:rPr>
          <w:rFonts w:ascii="Calibri" w:hAnsi="Calibri"/>
          <w:i/>
          <w:color w:val="525866"/>
          <w:sz w:val="22"/>
        </w:rPr>
        <w:t>Sources: Visible Alpha Consensus and Actuals Data; T-Mobile Q1 2026 Earnings Call (April 28, 2026). Q2 2026 Consensus estimates as of July 22, 2026. Note: Q1 2026 Actual broadband net adds shown as reported (517,889K per VA actuals). Diluted EPS YoY decline reflects elevated UScellular merger-related costs including accelerated depreciation ($0.43/share impact in Q1 2026); the same dynamic is expected in Q2 2026.</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Postpaid Account Net Adds (K)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217K</w:t>
            </w:r>
          </w:p>
        </w:tc>
        <w:tc>
          <w:tcPr>
            <w:tcW w:type="dxa" w:w="1728"/>
          </w:tcPr>
          <w:p>
            <w:r>
              <w:rPr>
                <w:rFonts w:ascii="Calibri" w:hAnsi="Calibri"/>
                <w:sz w:val="22"/>
              </w:rPr>
              <w:t>193K</w:t>
            </w:r>
          </w:p>
        </w:tc>
        <w:tc>
          <w:tcPr>
            <w:tcW w:type="dxa" w:w="1728"/>
          </w:tcPr>
          <w:p>
            <w:r>
              <w:rPr>
                <w:rFonts w:ascii="Calibri" w:hAnsi="Calibri"/>
                <w:b/>
                <w:color w:val="30A46C"/>
                <w:sz w:val="22"/>
              </w:rPr>
              <w:t>+12.4%</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261K</w:t>
            </w:r>
          </w:p>
        </w:tc>
        <w:tc>
          <w:tcPr>
            <w:tcW w:type="dxa" w:w="1728"/>
          </w:tcPr>
          <w:p>
            <w:r>
              <w:rPr>
                <w:rFonts w:ascii="Calibri" w:hAnsi="Calibri"/>
                <w:sz w:val="22"/>
              </w:rPr>
              <w:t>367K</w:t>
            </w:r>
          </w:p>
        </w:tc>
        <w:tc>
          <w:tcPr>
            <w:tcW w:type="dxa" w:w="1728"/>
          </w:tcPr>
          <w:p>
            <w:r>
              <w:rPr>
                <w:rFonts w:ascii="Calibri" w:hAnsi="Calibri"/>
                <w:b/>
                <w:color w:val="E5484D"/>
                <w:sz w:val="22"/>
              </w:rPr>
              <w:t>-28.9%</w:t>
            </w:r>
          </w:p>
        </w:tc>
        <w:tc>
          <w:tcPr>
            <w:tcW w:type="dxa" w:w="1728"/>
          </w:tcPr>
          <w:p>
            <w:r>
              <w:rPr>
                <w:rFonts w:ascii="Calibri" w:hAnsi="Calibri"/>
                <w:sz w:val="22"/>
              </w:rPr>
              <w:t>Miss</w:t>
            </w:r>
          </w:p>
        </w:tc>
      </w:tr>
      <w:tr>
        <w:tc>
          <w:tcPr>
            <w:tcW w:type="dxa" w:w="1728"/>
          </w:tcPr>
          <w:p>
            <w:r>
              <w:rPr>
                <w:rFonts w:ascii="Calibri" w:hAnsi="Calibri"/>
                <w:sz w:val="22"/>
              </w:rPr>
              <w:t>Q3 2025</w:t>
            </w:r>
          </w:p>
        </w:tc>
        <w:tc>
          <w:tcPr>
            <w:tcW w:type="dxa" w:w="1728"/>
          </w:tcPr>
          <w:p>
            <w:r>
              <w:rPr>
                <w:rFonts w:ascii="Calibri" w:hAnsi="Calibri"/>
                <w:sz w:val="22"/>
              </w:rPr>
              <w:t>396K</w:t>
            </w:r>
          </w:p>
        </w:tc>
        <w:tc>
          <w:tcPr>
            <w:tcW w:type="dxa" w:w="1728"/>
          </w:tcPr>
          <w:p>
            <w:r>
              <w:rPr>
                <w:rFonts w:ascii="Calibri" w:hAnsi="Calibri"/>
                <w:sz w:val="22"/>
              </w:rPr>
              <w:t>334K</w:t>
            </w:r>
          </w:p>
        </w:tc>
        <w:tc>
          <w:tcPr>
            <w:tcW w:type="dxa" w:w="1728"/>
          </w:tcPr>
          <w:p>
            <w:r>
              <w:rPr>
                <w:rFonts w:ascii="Calibri" w:hAnsi="Calibri"/>
                <w:b/>
                <w:color w:val="30A46C"/>
                <w:sz w:val="22"/>
              </w:rPr>
              <w:t>+18.6%</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318K</w:t>
            </w:r>
          </w:p>
        </w:tc>
        <w:tc>
          <w:tcPr>
            <w:tcW w:type="dxa" w:w="1728"/>
          </w:tcPr>
          <w:p>
            <w:r>
              <w:rPr>
                <w:rFonts w:ascii="Calibri" w:hAnsi="Calibri"/>
                <w:sz w:val="22"/>
              </w:rPr>
              <w:t>256K</w:t>
            </w:r>
          </w:p>
        </w:tc>
        <w:tc>
          <w:tcPr>
            <w:tcW w:type="dxa" w:w="1728"/>
          </w:tcPr>
          <w:p>
            <w:r>
              <w:rPr>
                <w:rFonts w:ascii="Calibri" w:hAnsi="Calibri"/>
                <w:b/>
                <w:color w:val="30A46C"/>
                <w:sz w:val="22"/>
              </w:rPr>
              <w:t>+24.2%</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205K</w:t>
            </w:r>
          </w:p>
        </w:tc>
        <w:tc>
          <w:tcPr>
            <w:tcW w:type="dxa" w:w="1728"/>
          </w:tcPr>
          <w:p>
            <w:r>
              <w:rPr>
                <w:rFonts w:ascii="Calibri" w:hAnsi="Calibri"/>
                <w:sz w:val="22"/>
              </w:rPr>
              <w:t>199K</w:t>
            </w:r>
          </w:p>
        </w:tc>
        <w:tc>
          <w:tcPr>
            <w:tcW w:type="dxa" w:w="1728"/>
          </w:tcPr>
          <w:p>
            <w:r>
              <w:rPr>
                <w:rFonts w:ascii="Calibri" w:hAnsi="Calibri"/>
                <w:b/>
                <w:color w:val="30A46C"/>
                <w:sz w:val="22"/>
              </w:rPr>
              <w:t>+3.0%</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263K</w:t>
            </w:r>
          </w:p>
        </w:tc>
        <w:tc>
          <w:tcPr>
            <w:tcW w:type="dxa" w:w="1728"/>
          </w:tcPr>
          <w:p>
            <w:r>
              <w:rPr>
                <w:rFonts w:ascii="Calibri" w:hAnsi="Calibri"/>
                <w:sz w:val="22"/>
              </w:rPr>
              <w:t>351K</w:t>
            </w:r>
          </w:p>
        </w:tc>
        <w:tc>
          <w:tcPr>
            <w:tcW w:type="dxa" w:w="1728"/>
          </w:tcPr>
          <w:p>
            <w:r>
              <w:rPr>
                <w:rFonts w:ascii="Calibri" w:hAnsi="Calibri"/>
                <w:b/>
                <w:color w:val="E5484D"/>
                <w:sz w:val="22"/>
              </w:rPr>
              <w:t>-25.1%</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315K</w:t>
            </w:r>
          </w:p>
        </w:tc>
        <w:tc>
          <w:tcPr>
            <w:tcW w:type="dxa" w:w="1728"/>
          </w:tcPr>
          <w:p>
            <w:r>
              <w:rPr>
                <w:rFonts w:ascii="Calibri" w:hAnsi="Calibri"/>
                <w:sz w:val="22"/>
              </w:rPr>
              <w:t>274K</w:t>
            </w:r>
          </w:p>
        </w:tc>
        <w:tc>
          <w:tcPr>
            <w:tcW w:type="dxa" w:w="1728"/>
          </w:tcPr>
          <w:p>
            <w:r>
              <w:rPr>
                <w:rFonts w:ascii="Calibri" w:hAnsi="Calibri"/>
                <w:b/>
                <w:color w:val="30A46C"/>
                <w:sz w:val="22"/>
              </w:rPr>
              <w:t>+14.9%</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TMUS beats on postpaid account net adds in 5 of the last 7 reported quarters, with the two misses concentrated in Q4 periods (Q4 2024, Q4 2025) where consensus had elevated seasonal expectations. Q1 2026 was a clean beat at +12%. The Q2 2026 consensus of 259K is set below the Q2 2025 actual of 318K, reflecting the known YoY comparison headwind from a strong prior-year quarter.</w:t>
      </w:r>
    </w:p>
    <w:p>
      <w:pPr>
        <w:pStyle w:val="Heading4"/>
      </w:pPr>
      <w:r>
        <w:rPr>
          <w:rFonts w:ascii="Calibri" w:hAnsi="Calibri"/>
          <w:b/>
          <w:color w:val="3B4259"/>
          <w:sz w:val="22"/>
        </w:rPr>
        <w:t>Core Adjusted EBITDA ($B)</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$9.24B</w:t>
            </w:r>
          </w:p>
        </w:tc>
        <w:tc>
          <w:tcPr>
            <w:tcW w:type="dxa" w:w="1728"/>
          </w:tcPr>
          <w:p>
            <w:r>
              <w:rPr>
                <w:rFonts w:ascii="Calibri" w:hAnsi="Calibri"/>
                <w:sz w:val="22"/>
              </w:rPr>
              <w:t>$9.09B</w:t>
            </w:r>
          </w:p>
        </w:tc>
        <w:tc>
          <w:tcPr>
            <w:tcW w:type="dxa" w:w="1728"/>
          </w:tcPr>
          <w:p>
            <w:r>
              <w:rPr>
                <w:rFonts w:ascii="Calibri" w:hAnsi="Calibri"/>
                <w:b/>
                <w:color w:val="30A46C"/>
                <w:sz w:val="22"/>
              </w:rPr>
              <w:t>+1.7%</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$8.45B</w:t>
            </w:r>
          </w:p>
        </w:tc>
        <w:tc>
          <w:tcPr>
            <w:tcW w:type="dxa" w:w="1728"/>
          </w:tcPr>
          <w:p>
            <w:r>
              <w:rPr>
                <w:rFonts w:ascii="Calibri" w:hAnsi="Calibri"/>
                <w:sz w:val="22"/>
              </w:rPr>
              <w:t>$8.40B</w:t>
            </w:r>
          </w:p>
        </w:tc>
        <w:tc>
          <w:tcPr>
            <w:tcW w:type="dxa" w:w="1728"/>
          </w:tcPr>
          <w:p>
            <w:r>
              <w:rPr>
                <w:rFonts w:ascii="Calibri" w:hAnsi="Calibri"/>
                <w:b/>
                <w:color w:val="30A46C"/>
                <w:sz w:val="22"/>
              </w:rPr>
              <w:t>+0.5%</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$8.68B</w:t>
            </w:r>
          </w:p>
        </w:tc>
        <w:tc>
          <w:tcPr>
            <w:tcW w:type="dxa" w:w="1728"/>
          </w:tcPr>
          <w:p>
            <w:r>
              <w:rPr>
                <w:rFonts w:ascii="Calibri" w:hAnsi="Calibri"/>
                <w:sz w:val="22"/>
              </w:rPr>
              <w:t>$8.65B</w:t>
            </w:r>
          </w:p>
        </w:tc>
        <w:tc>
          <w:tcPr>
            <w:tcW w:type="dxa" w:w="1728"/>
          </w:tcPr>
          <w:p>
            <w:r>
              <w:rPr>
                <w:rFonts w:ascii="Calibri" w:hAnsi="Calibri"/>
                <w:b/>
                <w:color w:val="30A46C"/>
                <w:sz w:val="22"/>
              </w:rPr>
              <w:t>+0.3%</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$8.54B</w:t>
            </w:r>
          </w:p>
        </w:tc>
        <w:tc>
          <w:tcPr>
            <w:tcW w:type="dxa" w:w="1728"/>
          </w:tcPr>
          <w:p>
            <w:r>
              <w:rPr>
                <w:rFonts w:ascii="Calibri" w:hAnsi="Calibri"/>
                <w:sz w:val="22"/>
              </w:rPr>
              <w:t>$8.40B</w:t>
            </w:r>
          </w:p>
        </w:tc>
        <w:tc>
          <w:tcPr>
            <w:tcW w:type="dxa" w:w="1728"/>
          </w:tcPr>
          <w:p>
            <w:r>
              <w:rPr>
                <w:rFonts w:ascii="Calibri" w:hAnsi="Calibri"/>
                <w:b/>
                <w:color w:val="30A46C"/>
                <w:sz w:val="22"/>
              </w:rPr>
              <w:t>+1.6%</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$8.26B</w:t>
            </w:r>
          </w:p>
        </w:tc>
        <w:tc>
          <w:tcPr>
            <w:tcW w:type="dxa" w:w="1728"/>
          </w:tcPr>
          <w:p>
            <w:r>
              <w:rPr>
                <w:rFonts w:ascii="Calibri" w:hAnsi="Calibri"/>
                <w:sz w:val="22"/>
              </w:rPr>
              <w:t>$8.09B</w:t>
            </w:r>
          </w:p>
        </w:tc>
        <w:tc>
          <w:tcPr>
            <w:tcW w:type="dxa" w:w="1728"/>
          </w:tcPr>
          <w:p>
            <w:r>
              <w:rPr>
                <w:rFonts w:ascii="Calibri" w:hAnsi="Calibri"/>
                <w:b/>
                <w:color w:val="30A46C"/>
                <w:sz w:val="22"/>
              </w:rPr>
              <w:t>+2.1%</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$7.91B</w:t>
            </w:r>
          </w:p>
        </w:tc>
        <w:tc>
          <w:tcPr>
            <w:tcW w:type="dxa" w:w="1728"/>
          </w:tcPr>
          <w:p>
            <w:r>
              <w:rPr>
                <w:rFonts w:ascii="Calibri" w:hAnsi="Calibri"/>
                <w:sz w:val="22"/>
              </w:rPr>
              <w:t>$7.83B</w:t>
            </w:r>
          </w:p>
        </w:tc>
        <w:tc>
          <w:tcPr>
            <w:tcW w:type="dxa" w:w="1728"/>
          </w:tcPr>
          <w:p>
            <w:r>
              <w:rPr>
                <w:rFonts w:ascii="Calibri" w:hAnsi="Calibri"/>
                <w:b/>
                <w:color w:val="30A46C"/>
                <w:sz w:val="22"/>
              </w:rPr>
              <w:t>+0.9%</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$8.22B</w:t>
            </w:r>
          </w:p>
        </w:tc>
        <w:tc>
          <w:tcPr>
            <w:tcW w:type="dxa" w:w="1728"/>
          </w:tcPr>
          <w:p>
            <w:r>
              <w:rPr>
                <w:rFonts w:ascii="Calibri" w:hAnsi="Calibri"/>
                <w:sz w:val="22"/>
              </w:rPr>
              <w:t>$8.12B</w:t>
            </w:r>
          </w:p>
        </w:tc>
        <w:tc>
          <w:tcPr>
            <w:tcW w:type="dxa" w:w="1728"/>
          </w:tcPr>
          <w:p>
            <w:r>
              <w:rPr>
                <w:rFonts w:ascii="Calibri" w:hAnsi="Calibri"/>
                <w:b/>
                <w:color w:val="30A46C"/>
                <w:sz w:val="22"/>
              </w:rPr>
              <w:t>+1.2%</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$8.54B</w:t>
            </w:r>
          </w:p>
        </w:tc>
        <w:tc>
          <w:tcPr>
            <w:tcW w:type="dxa" w:w="1728"/>
          </w:tcPr>
          <w:p>
            <w:r>
              <w:rPr>
                <w:rFonts w:ascii="Calibri" w:hAnsi="Calibri"/>
                <w:sz w:val="22"/>
              </w:rPr>
              <w:t>$8.40B</w:t>
            </w:r>
          </w:p>
        </w:tc>
        <w:tc>
          <w:tcPr>
            <w:tcW w:type="dxa" w:w="1728"/>
          </w:tcPr>
          <w:p>
            <w:r>
              <w:rPr>
                <w:rFonts w:ascii="Calibri" w:hAnsi="Calibri"/>
                <w:b/>
                <w:color w:val="30A46C"/>
                <w:sz w:val="22"/>
              </w:rPr>
              <w:t>+1.6%</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TMUS has beaten Core Adjusted EBITDA consensus in all 8 of the last 8 reported quarters, with beats ranging from +0.3% to +2.1%. The consistency of small beats reflects management's practice of guiding conservatively and then delivering at or above the top of the range. The Q2 2026 consensus of $9.40B is exactly in line with management's explicit guidance of ~$9.4B, setting a low-risk bar.</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raised once since the prior earnings call (Q4 2025, reported February 2026), and the Q1 2026 call delivered another incremental raise to postpaid accounts and EBITDA. No post-Q1 guidance revisions have been issued via 8-K or conference; management tone at May and June conferences was consistently confident, with Q2 described as “going really well.”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Postpaid Account Net Adds</w:t>
            </w:r>
          </w:p>
        </w:tc>
        <w:tc>
          <w:tcPr>
            <w:tcW w:type="dxa" w:w="1728"/>
          </w:tcPr>
          <w:p>
            <w:r>
              <w:rPr>
                <w:rFonts w:ascii="Calibri" w:hAnsi="Calibri"/>
                <w:sz w:val="22"/>
              </w:rPr>
              <w:t>950K – 1,050K (raised from 900K–1,000K)</w:t>
            </w:r>
          </w:p>
        </w:tc>
        <w:tc>
          <w:tcPr>
            <w:tcW w:type="dxa" w:w="1728"/>
          </w:tcPr>
          <w:p>
            <w:r>
              <w:rPr>
                <w:rFonts w:ascii="Calibri" w:hAnsi="Calibri"/>
                <w:sz w:val="22"/>
              </w:rPr>
              <w:t>—</w:t>
            </w:r>
          </w:p>
        </w:tc>
        <w:tc>
          <w:tcPr>
            <w:tcW w:type="dxa" w:w="1728"/>
          </w:tcPr>
          <w:p>
            <w:r>
              <w:rPr>
                <w:rFonts w:ascii="Calibri" w:hAnsi="Calibri"/>
                <w:sz w:val="22"/>
              </w:rPr>
              <w:t>~1,045K (FY)</w:t>
            </w:r>
          </w:p>
        </w:tc>
        <w:tc>
          <w:tcPr>
            <w:tcW w:type="dxa" w:w="1728"/>
          </w:tcPr>
          <w:p>
            <w:r>
              <w:rPr>
                <w:rFonts w:ascii="Calibri" w:hAnsi="Calibri"/>
                <w:sz w:val="22"/>
              </w:rPr>
              <w:t>↑ Raised at Q1 earnings; no further revision. CEO confirmed Q2 tracking well at JPM conference (May 18).</w:t>
            </w:r>
          </w:p>
        </w:tc>
      </w:tr>
      <w:tr>
        <w:tc>
          <w:tcPr>
            <w:tcW w:type="dxa" w:w="1728"/>
          </w:tcPr>
          <w:p>
            <w:r>
              <w:rPr>
                <w:rFonts w:ascii="Calibri" w:hAnsi="Calibri"/>
                <w:sz w:val="22"/>
              </w:rPr>
              <w:t>FY Core Adjusted EBITDA</w:t>
            </w:r>
          </w:p>
        </w:tc>
        <w:tc>
          <w:tcPr>
            <w:tcW w:type="dxa" w:w="1728"/>
          </w:tcPr>
          <w:p>
            <w:r>
              <w:rPr>
                <w:rFonts w:ascii="Calibri" w:hAnsi="Calibri"/>
                <w:sz w:val="22"/>
              </w:rPr>
              <w:t>$37.1B – $37.5B (raised $100M at low end)</w:t>
            </w:r>
          </w:p>
        </w:tc>
        <w:tc>
          <w:tcPr>
            <w:tcW w:type="dxa" w:w="1728"/>
          </w:tcPr>
          <w:p>
            <w:r>
              <w:rPr>
                <w:rFonts w:ascii="Calibri" w:hAnsi="Calibri"/>
                <w:sz w:val="22"/>
              </w:rPr>
              <w:t>—</w:t>
            </w:r>
          </w:p>
        </w:tc>
        <w:tc>
          <w:tcPr>
            <w:tcW w:type="dxa" w:w="1728"/>
          </w:tcPr>
          <w:p>
            <w:r>
              <w:rPr>
                <w:rFonts w:ascii="Calibri" w:hAnsi="Calibri"/>
                <w:sz w:val="22"/>
              </w:rPr>
              <w:t>$37.3B</w:t>
            </w:r>
          </w:p>
        </w:tc>
        <w:tc>
          <w:tcPr>
            <w:tcW w:type="dxa" w:w="1728"/>
          </w:tcPr>
          <w:p>
            <w:r>
              <w:rPr>
                <w:rFonts w:ascii="Calibri" w:hAnsi="Calibri"/>
                <w:sz w:val="22"/>
              </w:rPr>
              <w:t>↑ Raised at Q1 earnings; CFO reaffirmed at Evercore TMT Conference (Jun 2). Consensus at midpoint.</w:t>
            </w:r>
          </w:p>
        </w:tc>
      </w:tr>
      <w:tr>
        <w:tc>
          <w:tcPr>
            <w:tcW w:type="dxa" w:w="1728"/>
          </w:tcPr>
          <w:p>
            <w:r>
              <w:rPr>
                <w:rFonts w:ascii="Calibri" w:hAnsi="Calibri"/>
                <w:sz w:val="22"/>
              </w:rPr>
              <w:t>FY Adjusted Free Cash Flow</w:t>
            </w:r>
          </w:p>
        </w:tc>
        <w:tc>
          <w:tcPr>
            <w:tcW w:type="dxa" w:w="1728"/>
          </w:tcPr>
          <w:p>
            <w:r>
              <w:rPr>
                <w:rFonts w:ascii="Calibri" w:hAnsi="Calibri"/>
                <w:sz w:val="22"/>
              </w:rPr>
              <w:t>$18.1B – $18.7B (raised $100M at low end)</w:t>
            </w:r>
          </w:p>
        </w:tc>
        <w:tc>
          <w:tcPr>
            <w:tcW w:type="dxa" w:w="1728"/>
          </w:tcPr>
          <w:p>
            <w:r>
              <w:rPr>
                <w:rFonts w:ascii="Calibri" w:hAnsi="Calibri"/>
                <w:sz w:val="22"/>
              </w:rPr>
              <w:t>—</w:t>
            </w:r>
          </w:p>
        </w:tc>
        <w:tc>
          <w:tcPr>
            <w:tcW w:type="dxa" w:w="1728"/>
          </w:tcPr>
          <w:p>
            <w:r>
              <w:rPr>
                <w:rFonts w:ascii="Calibri" w:hAnsi="Calibri"/>
                <w:sz w:val="22"/>
              </w:rPr>
              <w:t>$18.6B</w:t>
            </w:r>
          </w:p>
        </w:tc>
        <w:tc>
          <w:tcPr>
            <w:tcW w:type="dxa" w:w="1728"/>
          </w:tcPr>
          <w:p>
            <w:r>
              <w:rPr>
                <w:rFonts w:ascii="Calibri" w:hAnsi="Calibri"/>
                <w:sz w:val="22"/>
              </w:rPr>
              <w:t>↑ Raised at Q1 earnings; no further revision. Consensus near top of range.</w:t>
            </w:r>
          </w:p>
        </w:tc>
      </w:tr>
      <w:tr>
        <w:tc>
          <w:tcPr>
            <w:tcW w:type="dxa" w:w="1728"/>
          </w:tcPr>
          <w:p>
            <w:r>
              <w:rPr>
                <w:rFonts w:ascii="Calibri" w:hAnsi="Calibri"/>
                <w:sz w:val="22"/>
              </w:rPr>
              <w:t>FY Total Service Revenue</w:t>
            </w:r>
          </w:p>
        </w:tc>
        <w:tc>
          <w:tcPr>
            <w:tcW w:type="dxa" w:w="1728"/>
          </w:tcPr>
          <w:p>
            <w:r>
              <w:rPr>
                <w:rFonts w:ascii="Calibri" w:hAnsi="Calibri"/>
                <w:sz w:val="22"/>
              </w:rPr>
              <w:t>~$77B (+8% YoY)</w:t>
            </w:r>
          </w:p>
        </w:tc>
        <w:tc>
          <w:tcPr>
            <w:tcW w:type="dxa" w:w="1728"/>
          </w:tcPr>
          <w:p>
            <w:r>
              <w:rPr>
                <w:rFonts w:ascii="Calibri" w:hAnsi="Calibri"/>
                <w:sz w:val="22"/>
              </w:rPr>
              <w:t>—</w:t>
            </w:r>
          </w:p>
        </w:tc>
        <w:tc>
          <w:tcPr>
            <w:tcW w:type="dxa" w:w="1728"/>
          </w:tcPr>
          <w:p>
            <w:r>
              <w:rPr>
                <w:rFonts w:ascii="Calibri" w:hAnsi="Calibri"/>
                <w:sz w:val="22"/>
              </w:rPr>
              <w:t>$76.8B</w:t>
            </w:r>
          </w:p>
        </w:tc>
        <w:tc>
          <w:tcPr>
            <w:tcW w:type="dxa" w:w="1728"/>
          </w:tcPr>
          <w:p>
            <w:r>
              <w:rPr>
                <w:rFonts w:ascii="Calibri" w:hAnsi="Calibri"/>
                <w:sz w:val="22"/>
              </w:rPr>
              <w:t>Unchanged. Consensus slightly below guidance midpoint; reflects wholesale revenue headwind.</w:t>
            </w:r>
          </w:p>
        </w:tc>
      </w:tr>
      <w:tr>
        <w:tc>
          <w:tcPr>
            <w:tcW w:type="dxa" w:w="1728"/>
          </w:tcPr>
          <w:p>
            <w:r>
              <w:rPr>
                <w:rFonts w:ascii="Calibri" w:hAnsi="Calibri"/>
                <w:sz w:val="22"/>
              </w:rPr>
              <w:t>FY Postpaid ARPA Growth</w:t>
            </w:r>
          </w:p>
        </w:tc>
        <w:tc>
          <w:tcPr>
            <w:tcW w:type="dxa" w:w="1728"/>
          </w:tcPr>
          <w:p>
            <w:r>
              <w:rPr>
                <w:rFonts w:ascii="Calibri" w:hAnsi="Calibri"/>
                <w:sz w:val="22"/>
              </w:rPr>
              <w:t>2.5% – 3.0% YoY</w:t>
            </w:r>
          </w:p>
        </w:tc>
        <w:tc>
          <w:tcPr>
            <w:tcW w:type="dxa" w:w="1728"/>
          </w:tcPr>
          <w:p>
            <w:r>
              <w:rPr>
                <w:rFonts w:ascii="Calibri" w:hAnsi="Calibri"/>
                <w:sz w:val="22"/>
              </w:rPr>
              <w:t>—</w:t>
            </w:r>
          </w:p>
        </w:tc>
        <w:tc>
          <w:tcPr>
            <w:tcW w:type="dxa" w:w="1728"/>
          </w:tcPr>
          <w:p>
            <w:r>
              <w:rPr>
                <w:rFonts w:ascii="Calibri" w:hAnsi="Calibri"/>
                <w:sz w:val="22"/>
              </w:rPr>
              <w:t>~2.1% (Q2 implied)</w:t>
            </w:r>
          </w:p>
        </w:tc>
        <w:tc>
          <w:tcPr>
            <w:tcW w:type="dxa" w:w="1728"/>
          </w:tcPr>
          <w:p>
            <w:r>
              <w:rPr>
                <w:rFonts w:ascii="Calibri" w:hAnsi="Calibri"/>
                <w:sz w:val="22"/>
              </w:rPr>
              <w:t>Q2 guided to ~2% YoY; H2 re-acceleration expected. Full-year 2.5%–3% unchanged.</w:t>
            </w:r>
          </w:p>
        </w:tc>
      </w:tr>
      <w:tr>
        <w:tc>
          <w:tcPr>
            <w:tcW w:type="dxa" w:w="1728"/>
          </w:tcPr>
          <w:p>
            <w:r>
              <w:rPr>
                <w:rFonts w:ascii="Calibri" w:hAnsi="Calibri"/>
                <w:sz w:val="22"/>
              </w:rPr>
              <w:t>Q2 Core Adjusted EBITDA</w:t>
            </w:r>
          </w:p>
        </w:tc>
        <w:tc>
          <w:tcPr>
            <w:tcW w:type="dxa" w:w="1728"/>
          </w:tcPr>
          <w:p>
            <w:r>
              <w:rPr>
                <w:rFonts w:ascii="Calibri" w:hAnsi="Calibri"/>
                <w:sz w:val="22"/>
              </w:rPr>
              <w:t>~$9.4B (+10% YoY)</w:t>
            </w:r>
          </w:p>
        </w:tc>
        <w:tc>
          <w:tcPr>
            <w:tcW w:type="dxa" w:w="1728"/>
          </w:tcPr>
          <w:p>
            <w:r>
              <w:rPr>
                <w:rFonts w:ascii="Calibri" w:hAnsi="Calibri"/>
                <w:sz w:val="22"/>
              </w:rPr>
              <w:t>—</w:t>
            </w:r>
          </w:p>
        </w:tc>
        <w:tc>
          <w:tcPr>
            <w:tcW w:type="dxa" w:w="1728"/>
          </w:tcPr>
          <w:p>
            <w:r>
              <w:rPr>
                <w:rFonts w:ascii="Calibri" w:hAnsi="Calibri"/>
                <w:sz w:val="22"/>
              </w:rPr>
              <w:t>$9.40B</w:t>
            </w:r>
          </w:p>
        </w:tc>
        <w:tc>
          <w:tcPr>
            <w:tcW w:type="dxa" w:w="1728"/>
          </w:tcPr>
          <w:p>
            <w:r>
              <w:rPr>
                <w:rFonts w:ascii="Calibri" w:hAnsi="Calibri"/>
                <w:sz w:val="22"/>
              </w:rPr>
              <w:t>Consensus exactly at guidance. CFO reaffirmed at Evercore conference Jun 2.</w:t>
            </w:r>
          </w:p>
        </w:tc>
      </w:tr>
      <w:tr>
        <w:tc>
          <w:tcPr>
            <w:tcW w:type="dxa" w:w="1728"/>
          </w:tcPr>
          <w:p>
            <w:r>
              <w:rPr>
                <w:rFonts w:ascii="Calibri" w:hAnsi="Calibri"/>
                <w:sz w:val="22"/>
              </w:rPr>
              <w:t>Q2 Total Service Revenue</w:t>
            </w:r>
          </w:p>
        </w:tc>
        <w:tc>
          <w:tcPr>
            <w:tcW w:type="dxa" w:w="1728"/>
          </w:tcPr>
          <w:p>
            <w:r>
              <w:rPr>
                <w:rFonts w:ascii="Calibri" w:hAnsi="Calibri"/>
                <w:sz w:val="22"/>
              </w:rPr>
              <w:t>~$19.0B (+9% YoY)</w:t>
            </w:r>
          </w:p>
        </w:tc>
        <w:tc>
          <w:tcPr>
            <w:tcW w:type="dxa" w:w="1728"/>
          </w:tcPr>
          <w:p>
            <w:r>
              <w:rPr>
                <w:rFonts w:ascii="Calibri" w:hAnsi="Calibri"/>
                <w:sz w:val="22"/>
              </w:rPr>
              <w:t>—</w:t>
            </w:r>
          </w:p>
        </w:tc>
        <w:tc>
          <w:tcPr>
            <w:tcW w:type="dxa" w:w="1728"/>
          </w:tcPr>
          <w:p>
            <w:r>
              <w:rPr>
                <w:rFonts w:ascii="Calibri" w:hAnsi="Calibri"/>
                <w:sz w:val="22"/>
              </w:rPr>
              <w:t>$19.02B</w:t>
            </w:r>
          </w:p>
        </w:tc>
        <w:tc>
          <w:tcPr>
            <w:tcW w:type="dxa" w:w="1728"/>
          </w:tcPr>
          <w:p>
            <w:r>
              <w:rPr>
                <w:rFonts w:ascii="Calibri" w:hAnsi="Calibri"/>
                <w:sz w:val="22"/>
              </w:rPr>
              <w:t>Consensus essentially at guidance. No revision.</w:t>
            </w:r>
          </w:p>
        </w:tc>
      </w:tr>
      <w:tr>
        <w:tc>
          <w:tcPr>
            <w:tcW w:type="dxa" w:w="1728"/>
          </w:tcPr>
          <w:p>
            <w:r>
              <w:rPr>
                <w:rFonts w:ascii="Calibri" w:hAnsi="Calibri"/>
                <w:sz w:val="22"/>
              </w:rPr>
              <w:t>FY CapEx</w:t>
            </w:r>
          </w:p>
        </w:tc>
        <w:tc>
          <w:tcPr>
            <w:tcW w:type="dxa" w:w="1728"/>
          </w:tcPr>
          <w:p>
            <w:r>
              <w:rPr>
                <w:rFonts w:ascii="Calibri" w:hAnsi="Calibri"/>
                <w:sz w:val="22"/>
              </w:rPr>
              <w:t>~$10.0B</w:t>
            </w:r>
          </w:p>
        </w:tc>
        <w:tc>
          <w:tcPr>
            <w:tcW w:type="dxa" w:w="1728"/>
          </w:tcPr>
          <w:p>
            <w:r>
              <w:rPr>
                <w:rFonts w:ascii="Calibri" w:hAnsi="Calibri"/>
                <w:sz w:val="22"/>
              </w:rPr>
              <w:t>—</w:t>
            </w:r>
          </w:p>
        </w:tc>
        <w:tc>
          <w:tcPr>
            <w:tcW w:type="dxa" w:w="1728"/>
          </w:tcPr>
          <w:p>
            <w:r>
              <w:rPr>
                <w:rFonts w:ascii="Calibri" w:hAnsi="Calibri"/>
                <w:sz w:val="22"/>
              </w:rPr>
              <w:t>~$10.0B</w:t>
            </w:r>
          </w:p>
        </w:tc>
        <w:tc>
          <w:tcPr>
            <w:tcW w:type="dxa" w:w="1728"/>
          </w:tcPr>
          <w:p>
            <w:r>
              <w:rPr>
                <w:rFonts w:ascii="Calibri" w:hAnsi="Calibri"/>
                <w:sz w:val="22"/>
              </w:rPr>
              <w:t>Unchanged. No revision.</w:t>
            </w:r>
          </w:p>
        </w:tc>
      </w:tr>
      <w:tr>
        <w:tc>
          <w:tcPr>
            <w:tcW w:type="dxa" w:w="1728"/>
          </w:tcPr>
          <w:p>
            <w:r>
              <w:rPr>
                <w:rFonts w:ascii="Calibri" w:hAnsi="Calibri"/>
                <w:sz w:val="22"/>
              </w:rPr>
              <w:t>FY 5G Broadband Subscribers</w:t>
            </w:r>
          </w:p>
        </w:tc>
        <w:tc>
          <w:tcPr>
            <w:tcW w:type="dxa" w:w="1728"/>
          </w:tcPr>
          <w:p>
            <w:r>
              <w:rPr>
                <w:rFonts w:ascii="Calibri" w:hAnsi="Calibri"/>
                <w:sz w:val="22"/>
              </w:rPr>
              <w:t>15M by 2030 (raised at MoffettNathanson, May 13)</w:t>
            </w:r>
          </w:p>
        </w:tc>
        <w:tc>
          <w:tcPr>
            <w:tcW w:type="dxa" w:w="1728"/>
          </w:tcPr>
          <w:p>
            <w:r>
              <w:rPr>
                <w:rFonts w:ascii="Calibri" w:hAnsi="Calibri"/>
                <w:sz w:val="22"/>
              </w:rPr>
              <w:t>—</w:t>
            </w:r>
          </w:p>
        </w:tc>
        <w:tc>
          <w:tcPr>
            <w:tcW w:type="dxa" w:w="1728"/>
          </w:tcPr>
          <w:p>
            <w:r>
              <w:rPr>
                <w:rFonts w:ascii="Calibri" w:hAnsi="Calibri"/>
                <w:sz w:val="22"/>
              </w:rPr>
              <w:t>N/A (long-term target)</w:t>
            </w:r>
          </w:p>
        </w:tc>
        <w:tc>
          <w:tcPr>
            <w:tcW w:type="dxa" w:w="1728"/>
          </w:tcPr>
          <w:p>
            <w:r>
              <w:rPr>
                <w:rFonts w:ascii="Calibri" w:hAnsi="Calibri"/>
                <w:sz w:val="22"/>
              </w:rPr>
              <w:t>↑ FWA long-term target raised from prior level at MoffettNathanson conference (May 13, 2026).</w:t>
            </w:r>
          </w:p>
        </w:tc>
      </w:tr>
    </w:tbl>
    <w:p>
      <w:r>
        <w:rPr>
          <w:rFonts w:ascii="Calibri" w:hAnsi="Calibri"/>
          <w:i/>
          <w:color w:val="525866"/>
          <w:sz w:val="22"/>
        </w:rPr>
        <w:t>Sources: T-Mobile Q1 2026 Earnings Call (April 28, 2026); MoffettNathanson Conference (May 13, 2026); JPMorgan TMT Conference (May 18, 2026); Evercore TMT Global Conference (June 2, 2026); Visible Alpha Consensus.</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Q2 EBITDA and service revenue consensus are essentially unchanged from the post-Q1 baseline, confirming the street has fully absorbed management’s explicit guidance. The only modest drift is a slight downward revision to Q2 EPS (~flat to -0.2%), likely reflecting UScellular merger cost timing. Full-year estimates are also stable, with consensus tracking the midpoint of raised guidance.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 ~5 Days Post Q1 Earnings (May 5, 2026)</w:t>
            </w:r>
          </w:p>
        </w:tc>
        <w:tc>
          <w:tcPr>
            <w:tcW w:type="dxa" w:w="1080"/>
            <w:shd w:val="clear" w:color="auto" w:fill="3B4259"/>
          </w:tcPr>
          <w:p>
            <w:r>
              <w:rPr>
                <w:rFonts w:ascii="Calibri" w:hAnsi="Calibri"/>
                <w:b/>
                <w:color w:val="FFFFFF"/>
                <w:sz w:val="22"/>
              </w:rPr>
              <w:t>Current Consensus (Jul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Total Service Revenue (Q2 2026)</w:t>
            </w:r>
          </w:p>
        </w:tc>
        <w:tc>
          <w:tcPr>
            <w:tcW w:type="dxa" w:w="1080"/>
          </w:tcPr>
          <w:p>
            <w:r>
              <w:rPr>
                <w:rFonts w:ascii="Calibri" w:hAnsi="Calibri"/>
                <w:sz w:val="22"/>
              </w:rPr>
              <w:t>$19.08B</w:t>
            </w:r>
          </w:p>
        </w:tc>
        <w:tc>
          <w:tcPr>
            <w:tcW w:type="dxa" w:w="1080"/>
          </w:tcPr>
          <w:p>
            <w:r>
              <w:rPr>
                <w:rFonts w:ascii="Calibri" w:hAnsi="Calibri"/>
                <w:sz w:val="22"/>
              </w:rPr>
              <w:t>$19.02B</w:t>
            </w:r>
          </w:p>
        </w:tc>
        <w:tc>
          <w:tcPr>
            <w:tcW w:type="dxa" w:w="1080"/>
          </w:tcPr>
          <w:p>
            <w:r>
              <w:rPr>
                <w:rFonts w:ascii="Calibri" w:hAnsi="Calibri"/>
                <w:sz w:val="22"/>
              </w:rPr>
              <w:t>-0.3%</w:t>
            </w:r>
          </w:p>
        </w:tc>
        <w:tc>
          <w:tcPr>
            <w:tcW w:type="dxa" w:w="1080"/>
          </w:tcPr>
          <w:p>
            <w:r>
              <w:rPr>
                <w:rFonts w:ascii="Calibri" w:hAnsi="Calibri"/>
                <w:sz w:val="22"/>
              </w:rPr>
              <w:t>~$19.0B</w:t>
            </w:r>
          </w:p>
        </w:tc>
        <w:tc>
          <w:tcPr>
            <w:tcW w:type="dxa" w:w="1080"/>
          </w:tcPr>
          <w:p>
            <w:r>
              <w:rPr>
                <w:rFonts w:ascii="Calibri" w:hAnsi="Calibri"/>
                <w:sz w:val="22"/>
              </w:rPr>
              <w:t>~$19.0B</w:t>
            </w:r>
          </w:p>
        </w:tc>
        <w:tc>
          <w:tcPr>
            <w:tcW w:type="dxa" w:w="1080"/>
          </w:tcPr>
          <w:p>
            <w:r>
              <w:rPr>
                <w:rFonts w:ascii="Calibri" w:hAnsi="Calibri"/>
                <w:sz w:val="22"/>
              </w:rPr>
              <w:t>Unchanged</w:t>
            </w:r>
          </w:p>
        </w:tc>
        <w:tc>
          <w:tcPr>
            <w:tcW w:type="dxa" w:w="1080"/>
          </w:tcPr>
          <w:p>
            <w:r>
              <w:rPr>
                <w:rFonts w:ascii="Calibri" w:hAnsi="Calibri"/>
                <w:sz w:val="22"/>
              </w:rPr>
              <w:t>+0.1%</w:t>
            </w:r>
          </w:p>
        </w:tc>
      </w:tr>
      <w:tr>
        <w:tc>
          <w:tcPr>
            <w:tcW w:type="dxa" w:w="1080"/>
          </w:tcPr>
          <w:p>
            <w:r>
              <w:rPr>
                <w:rFonts w:ascii="Calibri" w:hAnsi="Calibri"/>
                <w:sz w:val="22"/>
              </w:rPr>
              <w:t>Core Adjusted EBITDA (Q2 2026)</w:t>
            </w:r>
          </w:p>
        </w:tc>
        <w:tc>
          <w:tcPr>
            <w:tcW w:type="dxa" w:w="1080"/>
          </w:tcPr>
          <w:p>
            <w:r>
              <w:rPr>
                <w:rFonts w:ascii="Calibri" w:hAnsi="Calibri"/>
                <w:sz w:val="22"/>
              </w:rPr>
              <w:t>$9.45B</w:t>
            </w:r>
          </w:p>
        </w:tc>
        <w:tc>
          <w:tcPr>
            <w:tcW w:type="dxa" w:w="1080"/>
          </w:tcPr>
          <w:p>
            <w:r>
              <w:rPr>
                <w:rFonts w:ascii="Calibri" w:hAnsi="Calibri"/>
                <w:sz w:val="22"/>
              </w:rPr>
              <w:t>$9.40B</w:t>
            </w:r>
          </w:p>
        </w:tc>
        <w:tc>
          <w:tcPr>
            <w:tcW w:type="dxa" w:w="1080"/>
          </w:tcPr>
          <w:p>
            <w:r>
              <w:rPr>
                <w:rFonts w:ascii="Calibri" w:hAnsi="Calibri"/>
                <w:sz w:val="22"/>
              </w:rPr>
              <w:t>-0.6%</w:t>
            </w:r>
          </w:p>
        </w:tc>
        <w:tc>
          <w:tcPr>
            <w:tcW w:type="dxa" w:w="1080"/>
          </w:tcPr>
          <w:p>
            <w:r>
              <w:rPr>
                <w:rFonts w:ascii="Calibri" w:hAnsi="Calibri"/>
                <w:sz w:val="22"/>
              </w:rPr>
              <w:t>~$9.4B</w:t>
            </w:r>
          </w:p>
        </w:tc>
        <w:tc>
          <w:tcPr>
            <w:tcW w:type="dxa" w:w="1080"/>
          </w:tcPr>
          <w:p>
            <w:r>
              <w:rPr>
                <w:rFonts w:ascii="Calibri" w:hAnsi="Calibri"/>
                <w:sz w:val="22"/>
              </w:rPr>
              <w:t>~$9.4B</w:t>
            </w:r>
          </w:p>
        </w:tc>
        <w:tc>
          <w:tcPr>
            <w:tcW w:type="dxa" w:w="1080"/>
          </w:tcPr>
          <w:p>
            <w:r>
              <w:rPr>
                <w:rFonts w:ascii="Calibri" w:hAnsi="Calibri"/>
                <w:sz w:val="22"/>
              </w:rPr>
              <w:t>Unchanged</w:t>
            </w:r>
          </w:p>
        </w:tc>
        <w:tc>
          <w:tcPr>
            <w:tcW w:type="dxa" w:w="1080"/>
          </w:tcPr>
          <w:p>
            <w:r>
              <w:rPr>
                <w:rFonts w:ascii="Calibri" w:hAnsi="Calibri"/>
                <w:sz w:val="22"/>
              </w:rPr>
              <w:t>0.0%</w:t>
            </w:r>
          </w:p>
        </w:tc>
      </w:tr>
      <w:tr>
        <w:tc>
          <w:tcPr>
            <w:tcW w:type="dxa" w:w="1080"/>
          </w:tcPr>
          <w:p>
            <w:r>
              <w:rPr>
                <w:rFonts w:ascii="Calibri" w:hAnsi="Calibri"/>
                <w:sz w:val="22"/>
              </w:rPr>
              <w:t>Postpaid Account Net Adds (Q2 2026)</w:t>
            </w:r>
          </w:p>
        </w:tc>
        <w:tc>
          <w:tcPr>
            <w:tcW w:type="dxa" w:w="1080"/>
          </w:tcPr>
          <w:p>
            <w:r>
              <w:rPr>
                <w:rFonts w:ascii="Calibri" w:hAnsi="Calibri"/>
                <w:sz w:val="22"/>
              </w:rPr>
              <w:t>250K</w:t>
            </w:r>
          </w:p>
        </w:tc>
        <w:tc>
          <w:tcPr>
            <w:tcW w:type="dxa" w:w="1080"/>
          </w:tcPr>
          <w:p>
            <w:r>
              <w:rPr>
                <w:rFonts w:ascii="Calibri" w:hAnsi="Calibri"/>
                <w:sz w:val="22"/>
              </w:rPr>
              <w:t>259K</w:t>
            </w:r>
          </w:p>
        </w:tc>
        <w:tc>
          <w:tcPr>
            <w:tcW w:type="dxa" w:w="1080"/>
          </w:tcPr>
          <w:p>
            <w:r>
              <w:rPr>
                <w:rFonts w:ascii="Calibri" w:hAnsi="Calibri"/>
                <w:sz w:val="22"/>
              </w:rPr>
              <w:t>+3.6%</w:t>
            </w:r>
          </w:p>
        </w:tc>
        <w:tc>
          <w:tcPr>
            <w:tcW w:type="dxa" w:w="1080"/>
          </w:tcPr>
          <w:p>
            <w:r>
              <w:rPr>
                <w:rFonts w:ascii="Calibri" w:hAnsi="Calibri"/>
                <w:sz w:val="22"/>
              </w:rPr>
              <w:t>FY: 950K–1,050K</w:t>
            </w:r>
          </w:p>
        </w:tc>
        <w:tc>
          <w:tcPr>
            <w:tcW w:type="dxa" w:w="1080"/>
          </w:tcPr>
          <w:p>
            <w:r>
              <w:rPr>
                <w:rFonts w:ascii="Calibri" w:hAnsi="Calibri"/>
                <w:sz w:val="22"/>
              </w:rPr>
              <w:t>FY: 950K–1,050K</w:t>
            </w:r>
          </w:p>
        </w:tc>
        <w:tc>
          <w:tcPr>
            <w:tcW w:type="dxa" w:w="1080"/>
          </w:tcPr>
          <w:p>
            <w:r>
              <w:rPr>
                <w:rFonts w:ascii="Calibri" w:hAnsi="Calibri"/>
                <w:sz w:val="22"/>
              </w:rPr>
              <w:t>Unchanged</w:t>
            </w:r>
          </w:p>
        </w:tc>
        <w:tc>
          <w:tcPr>
            <w:tcW w:type="dxa" w:w="1080"/>
          </w:tcPr>
          <w:p>
            <w:r>
              <w:rPr>
                <w:rFonts w:ascii="Calibri" w:hAnsi="Calibri"/>
                <w:sz w:val="22"/>
              </w:rPr>
              <w:t>N/A (quarterly)</w:t>
            </w:r>
          </w:p>
        </w:tc>
      </w:tr>
      <w:tr>
        <w:tc>
          <w:tcPr>
            <w:tcW w:type="dxa" w:w="1080"/>
          </w:tcPr>
          <w:p>
            <w:r>
              <w:rPr>
                <w:rFonts w:ascii="Calibri" w:hAnsi="Calibri"/>
                <w:sz w:val="22"/>
              </w:rPr>
              <w:t>Postpaid ARPA (Q2 2026)</w:t>
            </w:r>
          </w:p>
        </w:tc>
        <w:tc>
          <w:tcPr>
            <w:tcW w:type="dxa" w:w="1080"/>
          </w:tcPr>
          <w:p>
            <w:r>
              <w:rPr>
                <w:rFonts w:ascii="Calibri" w:hAnsi="Calibri"/>
                <w:sz w:val="22"/>
              </w:rPr>
              <w:t>$152.64</w:t>
            </w:r>
          </w:p>
        </w:tc>
        <w:tc>
          <w:tcPr>
            <w:tcW w:type="dxa" w:w="1080"/>
          </w:tcPr>
          <w:p>
            <w:r>
              <w:rPr>
                <w:rFonts w:ascii="Calibri" w:hAnsi="Calibri"/>
                <w:sz w:val="22"/>
              </w:rPr>
              <w:t>$153.01</w:t>
            </w:r>
          </w:p>
        </w:tc>
        <w:tc>
          <w:tcPr>
            <w:tcW w:type="dxa" w:w="1080"/>
          </w:tcPr>
          <w:p>
            <w:r>
              <w:rPr>
                <w:rFonts w:ascii="Calibri" w:hAnsi="Calibri"/>
                <w:sz w:val="22"/>
              </w:rPr>
              <w:t>+0.2%</w:t>
            </w:r>
          </w:p>
        </w:tc>
        <w:tc>
          <w:tcPr>
            <w:tcW w:type="dxa" w:w="1080"/>
          </w:tcPr>
          <w:p>
            <w:r>
              <w:rPr>
                <w:rFonts w:ascii="Calibri" w:hAnsi="Calibri"/>
                <w:sz w:val="22"/>
              </w:rPr>
              <w:t>~2% YoY growth</w:t>
            </w:r>
          </w:p>
        </w:tc>
        <w:tc>
          <w:tcPr>
            <w:tcW w:type="dxa" w:w="1080"/>
          </w:tcPr>
          <w:p>
            <w:r>
              <w:rPr>
                <w:rFonts w:ascii="Calibri" w:hAnsi="Calibri"/>
                <w:sz w:val="22"/>
              </w:rPr>
              <w:t>~2% YoY growth</w:t>
            </w:r>
          </w:p>
        </w:tc>
        <w:tc>
          <w:tcPr>
            <w:tcW w:type="dxa" w:w="1080"/>
          </w:tcPr>
          <w:p>
            <w:r>
              <w:rPr>
                <w:rFonts w:ascii="Calibri" w:hAnsi="Calibri"/>
                <w:sz w:val="22"/>
              </w:rPr>
              <w:t>Unchanged</w:t>
            </w:r>
          </w:p>
        </w:tc>
        <w:tc>
          <w:tcPr>
            <w:tcW w:type="dxa" w:w="1080"/>
          </w:tcPr>
          <w:p>
            <w:r>
              <w:rPr>
                <w:rFonts w:ascii="Calibri" w:hAnsi="Calibri"/>
                <w:sz w:val="22"/>
              </w:rPr>
              <w:t>+0.5% vs. implied</w:t>
            </w:r>
          </w:p>
        </w:tc>
      </w:tr>
      <w:tr>
        <w:tc>
          <w:tcPr>
            <w:tcW w:type="dxa" w:w="1080"/>
          </w:tcPr>
          <w:p>
            <w:r>
              <w:rPr>
                <w:rFonts w:ascii="Calibri" w:hAnsi="Calibri"/>
                <w:sz w:val="22"/>
              </w:rPr>
              <w:t>Diluted EPS (Q2 2026)</w:t>
            </w:r>
          </w:p>
        </w:tc>
        <w:tc>
          <w:tcPr>
            <w:tcW w:type="dxa" w:w="1080"/>
          </w:tcPr>
          <w:p>
            <w:r>
              <w:rPr>
                <w:rFonts w:ascii="Calibri" w:hAnsi="Calibri"/>
                <w:sz w:val="22"/>
              </w:rPr>
              <w:t>$2.58</w:t>
            </w:r>
          </w:p>
        </w:tc>
        <w:tc>
          <w:tcPr>
            <w:tcW w:type="dxa" w:w="1080"/>
          </w:tcPr>
          <w:p>
            <w:r>
              <w:rPr>
                <w:rFonts w:ascii="Calibri" w:hAnsi="Calibri"/>
                <w:sz w:val="22"/>
              </w:rPr>
              <w:t>$2.58</w:t>
            </w:r>
          </w:p>
        </w:tc>
        <w:tc>
          <w:tcPr>
            <w:tcW w:type="dxa" w:w="1080"/>
          </w:tcPr>
          <w:p>
            <w:r>
              <w:rPr>
                <w:rFonts w:ascii="Calibri" w:hAnsi="Calibri"/>
                <w:sz w:val="22"/>
              </w:rPr>
              <w:t>0.0%</w:t>
            </w:r>
          </w:p>
        </w:tc>
        <w:tc>
          <w:tcPr>
            <w:tcW w:type="dxa" w:w="1080"/>
          </w:tcPr>
          <w:p>
            <w:r>
              <w:rPr>
                <w:rFonts w:ascii="Calibri" w:hAnsi="Calibri"/>
                <w:sz w:val="22"/>
              </w:rPr>
              <w:t>N/A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Service Revenue (FY 2026)</w:t>
            </w:r>
          </w:p>
        </w:tc>
        <w:tc>
          <w:tcPr>
            <w:tcW w:type="dxa" w:w="1080"/>
          </w:tcPr>
          <w:p>
            <w:r>
              <w:rPr>
                <w:rFonts w:ascii="Calibri" w:hAnsi="Calibri"/>
                <w:sz w:val="22"/>
              </w:rPr>
              <w:t>$76.97B</w:t>
            </w:r>
          </w:p>
        </w:tc>
        <w:tc>
          <w:tcPr>
            <w:tcW w:type="dxa" w:w="1080"/>
          </w:tcPr>
          <w:p>
            <w:r>
              <w:rPr>
                <w:rFonts w:ascii="Calibri" w:hAnsi="Calibri"/>
                <w:sz w:val="22"/>
              </w:rPr>
              <w:t>$76.83B</w:t>
            </w:r>
          </w:p>
        </w:tc>
        <w:tc>
          <w:tcPr>
            <w:tcW w:type="dxa" w:w="1080"/>
          </w:tcPr>
          <w:p>
            <w:r>
              <w:rPr>
                <w:rFonts w:ascii="Calibri" w:hAnsi="Calibri"/>
                <w:sz w:val="22"/>
              </w:rPr>
              <w:t>-0.2%</w:t>
            </w:r>
          </w:p>
        </w:tc>
        <w:tc>
          <w:tcPr>
            <w:tcW w:type="dxa" w:w="1080"/>
          </w:tcPr>
          <w:p>
            <w:r>
              <w:rPr>
                <w:rFonts w:ascii="Calibri" w:hAnsi="Calibri"/>
                <w:sz w:val="22"/>
              </w:rPr>
              <w:t>~$77B (+8%)</w:t>
            </w:r>
          </w:p>
        </w:tc>
        <w:tc>
          <w:tcPr>
            <w:tcW w:type="dxa" w:w="1080"/>
          </w:tcPr>
          <w:p>
            <w:r>
              <w:rPr>
                <w:rFonts w:ascii="Calibri" w:hAnsi="Calibri"/>
                <w:sz w:val="22"/>
              </w:rPr>
              <w:t>~$77B (+8%)</w:t>
            </w:r>
          </w:p>
        </w:tc>
        <w:tc>
          <w:tcPr>
            <w:tcW w:type="dxa" w:w="1080"/>
          </w:tcPr>
          <w:p>
            <w:r>
              <w:rPr>
                <w:rFonts w:ascii="Calibri" w:hAnsi="Calibri"/>
                <w:sz w:val="22"/>
              </w:rPr>
              <w:t>Unchanged</w:t>
            </w:r>
          </w:p>
        </w:tc>
        <w:tc>
          <w:tcPr>
            <w:tcW w:type="dxa" w:w="1080"/>
          </w:tcPr>
          <w:p>
            <w:r>
              <w:rPr>
                <w:rFonts w:ascii="Calibri" w:hAnsi="Calibri"/>
                <w:sz w:val="22"/>
              </w:rPr>
              <w:t>-0.2%</w:t>
            </w:r>
          </w:p>
        </w:tc>
      </w:tr>
      <w:tr>
        <w:tc>
          <w:tcPr>
            <w:tcW w:type="dxa" w:w="1080"/>
          </w:tcPr>
          <w:p>
            <w:r>
              <w:rPr>
                <w:rFonts w:ascii="Calibri" w:hAnsi="Calibri"/>
                <w:sz w:val="22"/>
              </w:rPr>
              <w:t>Core Adjusted EBITDA (FY 2026)</w:t>
            </w:r>
          </w:p>
        </w:tc>
        <w:tc>
          <w:tcPr>
            <w:tcW w:type="dxa" w:w="1080"/>
          </w:tcPr>
          <w:p>
            <w:r>
              <w:rPr>
                <w:rFonts w:ascii="Calibri" w:hAnsi="Calibri"/>
                <w:sz w:val="22"/>
              </w:rPr>
              <w:t>$37.42B</w:t>
            </w:r>
          </w:p>
        </w:tc>
        <w:tc>
          <w:tcPr>
            <w:tcW w:type="dxa" w:w="1080"/>
          </w:tcPr>
          <w:p>
            <w:r>
              <w:rPr>
                <w:rFonts w:ascii="Calibri" w:hAnsi="Calibri"/>
                <w:sz w:val="22"/>
              </w:rPr>
              <w:t>$37.34B</w:t>
            </w:r>
          </w:p>
        </w:tc>
        <w:tc>
          <w:tcPr>
            <w:tcW w:type="dxa" w:w="1080"/>
          </w:tcPr>
          <w:p>
            <w:r>
              <w:rPr>
                <w:rFonts w:ascii="Calibri" w:hAnsi="Calibri"/>
                <w:sz w:val="22"/>
              </w:rPr>
              <w:t>-0.2%</w:t>
            </w:r>
          </w:p>
        </w:tc>
        <w:tc>
          <w:tcPr>
            <w:tcW w:type="dxa" w:w="1080"/>
          </w:tcPr>
          <w:p>
            <w:r>
              <w:rPr>
                <w:rFonts w:ascii="Calibri" w:hAnsi="Calibri"/>
                <w:sz w:val="22"/>
              </w:rPr>
              <w:t>$37.1B – $37.5B</w:t>
            </w:r>
          </w:p>
        </w:tc>
        <w:tc>
          <w:tcPr>
            <w:tcW w:type="dxa" w:w="1080"/>
          </w:tcPr>
          <w:p>
            <w:r>
              <w:rPr>
                <w:rFonts w:ascii="Calibri" w:hAnsi="Calibri"/>
                <w:sz w:val="22"/>
              </w:rPr>
              <w:t>$37.1B – $37.5B</w:t>
            </w:r>
          </w:p>
        </w:tc>
        <w:tc>
          <w:tcPr>
            <w:tcW w:type="dxa" w:w="1080"/>
          </w:tcPr>
          <w:p>
            <w:r>
              <w:rPr>
                <w:rFonts w:ascii="Calibri" w:hAnsi="Calibri"/>
                <w:sz w:val="22"/>
              </w:rPr>
              <w:t>Unchanged</w:t>
            </w:r>
          </w:p>
        </w:tc>
        <w:tc>
          <w:tcPr>
            <w:tcW w:type="dxa" w:w="1080"/>
          </w:tcPr>
          <w:p>
            <w:r>
              <w:rPr>
                <w:rFonts w:ascii="Calibri" w:hAnsi="Calibri"/>
                <w:sz w:val="22"/>
              </w:rPr>
              <w:t>-0.4% vs. midpoint</w:t>
            </w:r>
          </w:p>
        </w:tc>
      </w:tr>
      <w:tr>
        <w:tc>
          <w:tcPr>
            <w:tcW w:type="dxa" w:w="1080"/>
          </w:tcPr>
          <w:p>
            <w:r>
              <w:rPr>
                <w:rFonts w:ascii="Calibri" w:hAnsi="Calibri"/>
                <w:sz w:val="22"/>
              </w:rPr>
              <w:t>Adjusted Free Cash Flow (FY 2026)</w:t>
            </w:r>
          </w:p>
        </w:tc>
        <w:tc>
          <w:tcPr>
            <w:tcW w:type="dxa" w:w="1080"/>
          </w:tcPr>
          <w:p>
            <w:r>
              <w:rPr>
                <w:rFonts w:ascii="Calibri" w:hAnsi="Calibri"/>
                <w:sz w:val="22"/>
              </w:rPr>
              <w:t>$18.51B</w:t>
            </w:r>
          </w:p>
        </w:tc>
        <w:tc>
          <w:tcPr>
            <w:tcW w:type="dxa" w:w="1080"/>
          </w:tcPr>
          <w:p>
            <w:r>
              <w:rPr>
                <w:rFonts w:ascii="Calibri" w:hAnsi="Calibri"/>
                <w:sz w:val="22"/>
              </w:rPr>
              <w:t>$18.63B</w:t>
            </w:r>
          </w:p>
        </w:tc>
        <w:tc>
          <w:tcPr>
            <w:tcW w:type="dxa" w:w="1080"/>
          </w:tcPr>
          <w:p>
            <w:r>
              <w:rPr>
                <w:rFonts w:ascii="Calibri" w:hAnsi="Calibri"/>
                <w:sz w:val="22"/>
              </w:rPr>
              <w:t>+0.7%</w:t>
            </w:r>
          </w:p>
        </w:tc>
        <w:tc>
          <w:tcPr>
            <w:tcW w:type="dxa" w:w="1080"/>
          </w:tcPr>
          <w:p>
            <w:r>
              <w:rPr>
                <w:rFonts w:ascii="Calibri" w:hAnsi="Calibri"/>
                <w:sz w:val="22"/>
              </w:rPr>
              <w:t>$18.1B – $18.7B</w:t>
            </w:r>
          </w:p>
        </w:tc>
        <w:tc>
          <w:tcPr>
            <w:tcW w:type="dxa" w:w="1080"/>
          </w:tcPr>
          <w:p>
            <w:r>
              <w:rPr>
                <w:rFonts w:ascii="Calibri" w:hAnsi="Calibri"/>
                <w:sz w:val="22"/>
              </w:rPr>
              <w:t>$18.1B – $18.7B</w:t>
            </w:r>
          </w:p>
        </w:tc>
        <w:tc>
          <w:tcPr>
            <w:tcW w:type="dxa" w:w="1080"/>
          </w:tcPr>
          <w:p>
            <w:r>
              <w:rPr>
                <w:rFonts w:ascii="Calibri" w:hAnsi="Calibri"/>
                <w:sz w:val="22"/>
              </w:rPr>
              <w:t>Unchanged</w:t>
            </w:r>
          </w:p>
        </w:tc>
        <w:tc>
          <w:tcPr>
            <w:tcW w:type="dxa" w:w="1080"/>
          </w:tcPr>
          <w:p>
            <w:r>
              <w:rPr>
                <w:rFonts w:ascii="Calibri" w:hAnsi="Calibri"/>
                <w:sz w:val="22"/>
              </w:rPr>
              <w:t>+1.8% vs. midpoint</w:t>
            </w:r>
          </w:p>
        </w:tc>
      </w:tr>
    </w:tbl>
    <w:p>
      <w:r>
        <w:rPr>
          <w:rFonts w:ascii="Calibri" w:hAnsi="Calibri"/>
          <w:color w:val="525866"/>
          <w:sz w:val="22"/>
        </w:rPr>
        <w:t>Estimates are tracking guidance with near-zero drift since the Q1 print, confirming the street has fully absorbed management’s explicit Q2 and full-year guidance. The slight upward drift in postpaid account net adds consensus (+3.6% since the post-Q1 baseline) suggests the street is incrementally more optimistic on subscriber momentum than management’s conservative framing implies. FCF consensus is near the top of the guidance range, reflecting confidence in cost discipline.</w:t>
      </w:r>
    </w:p>
    <w:p>
      <w:r>
        <w:rPr>
          <w:rFonts w:ascii="Calibri" w:hAnsi="Calibri"/>
          <w:i/>
          <w:color w:val="525866"/>
          <w:sz w:val="22"/>
        </w:rPr>
        <w:t>Source: Visible Alpha Consensus and Actuals Data; T-Mobile Q1 2026 Earnings Call (April 28,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TMUS has underperformed both XLC (Communication Services ETF) and the S&amp;P 500 since the Q1 2026 earnings date (April 28, 2026), with the stock down ~2% vs. the market up ~5%. The underperformance is multiple-driven — EV/EBITDA has compressed from ~7.9x to ~7.5x over the past 3 months — rather than estimate-driven, as consensus has been essentially flat. The stock hit a trough of ~$168 in late June (driven by Deutsche Telekom merger speculation and broader sector weakness) before recovering to ~$191 by late July.</w:t>
      </w:r>
    </w:p>
    <w:p>
      <w:r>
        <w:rPr>
          <w:rFonts w:ascii="Calibri" w:hAnsi="Calibri"/>
          <w:b/>
          <w:color w:val="525866"/>
          <w:sz w:val="22"/>
        </w:rPr>
        <w:t>TMUS vs. XLC vs. SPY — Indexed Performance Since April 28, 2026 (Last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TMUS (Indexed)</w:t>
            </w:r>
          </w:p>
        </w:tc>
        <w:tc>
          <w:tcPr>
            <w:tcW w:type="dxa" w:w="2160"/>
            <w:shd w:val="clear" w:color="auto" w:fill="3B4259"/>
          </w:tcPr>
          <w:p>
            <w:r>
              <w:rPr>
                <w:rFonts w:ascii="Calibri" w:hAnsi="Calibri"/>
                <w:b/>
                <w:color w:val="FFFFFF"/>
                <w:sz w:val="22"/>
              </w:rPr>
              <w:t>XLC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28, 2026 (Base = 100)</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15, 2026</w:t>
            </w:r>
          </w:p>
        </w:tc>
        <w:tc>
          <w:tcPr>
            <w:tcW w:type="dxa" w:w="2160"/>
          </w:tcPr>
          <w:p>
            <w:r>
              <w:rPr>
                <w:rFonts w:ascii="Calibri" w:hAnsi="Calibri"/>
                <w:sz w:val="22"/>
              </w:rPr>
              <w:t>99.2</w:t>
            </w:r>
          </w:p>
        </w:tc>
        <w:tc>
          <w:tcPr>
            <w:tcW w:type="dxa" w:w="2160"/>
          </w:tcPr>
          <w:p>
            <w:r>
              <w:rPr>
                <w:rFonts w:ascii="Calibri" w:hAnsi="Calibri"/>
                <w:sz w:val="22"/>
              </w:rPr>
              <w:t>100.3</w:t>
            </w:r>
          </w:p>
        </w:tc>
        <w:tc>
          <w:tcPr>
            <w:tcW w:type="dxa" w:w="2160"/>
          </w:tcPr>
          <w:p>
            <w:r>
              <w:rPr>
                <w:rFonts w:ascii="Calibri" w:hAnsi="Calibri"/>
                <w:sz w:val="22"/>
              </w:rPr>
              <w:t>103.9</w:t>
            </w:r>
          </w:p>
        </w:tc>
      </w:tr>
      <w:tr>
        <w:tc>
          <w:tcPr>
            <w:tcW w:type="dxa" w:w="2160"/>
          </w:tcPr>
          <w:p>
            <w:r>
              <w:rPr>
                <w:rFonts w:ascii="Calibri" w:hAnsi="Calibri"/>
                <w:sz w:val="22"/>
              </w:rPr>
              <w:t>Jun 2, 2026 (Evercore Conference)</w:t>
            </w:r>
          </w:p>
        </w:tc>
        <w:tc>
          <w:tcPr>
            <w:tcW w:type="dxa" w:w="2160"/>
          </w:tcPr>
          <w:p>
            <w:r>
              <w:rPr>
                <w:rFonts w:ascii="Calibri" w:hAnsi="Calibri"/>
                <w:sz w:val="22"/>
              </w:rPr>
              <w:t>101.1</w:t>
            </w:r>
          </w:p>
        </w:tc>
        <w:tc>
          <w:tcPr>
            <w:tcW w:type="dxa" w:w="2160"/>
          </w:tcPr>
          <w:p>
            <w:r>
              <w:rPr>
                <w:rFonts w:ascii="Calibri" w:hAnsi="Calibri"/>
                <w:sz w:val="22"/>
              </w:rPr>
              <w:t>98.1</w:t>
            </w:r>
          </w:p>
        </w:tc>
        <w:tc>
          <w:tcPr>
            <w:tcW w:type="dxa" w:w="2160"/>
          </w:tcPr>
          <w:p>
            <w:r>
              <w:rPr>
                <w:rFonts w:ascii="Calibri" w:hAnsi="Calibri"/>
                <w:sz w:val="22"/>
              </w:rPr>
              <w:t>106.8</w:t>
            </w:r>
          </w:p>
        </w:tc>
      </w:tr>
      <w:tr>
        <w:tc>
          <w:tcPr>
            <w:tcW w:type="dxa" w:w="2160"/>
          </w:tcPr>
          <w:p>
            <w:r>
              <w:rPr>
                <w:rFonts w:ascii="Calibri" w:hAnsi="Calibri"/>
                <w:sz w:val="22"/>
              </w:rPr>
              <w:t>Jun 30, 2026 (Trough)</w:t>
            </w:r>
          </w:p>
        </w:tc>
        <w:tc>
          <w:tcPr>
            <w:tcW w:type="dxa" w:w="2160"/>
          </w:tcPr>
          <w:p>
            <w:r>
              <w:rPr>
                <w:rFonts w:ascii="Calibri" w:hAnsi="Calibri"/>
                <w:sz w:val="22"/>
              </w:rPr>
              <w:t>89.8</w:t>
            </w:r>
          </w:p>
        </w:tc>
        <w:tc>
          <w:tcPr>
            <w:tcW w:type="dxa" w:w="2160"/>
          </w:tcPr>
          <w:p>
            <w:r>
              <w:rPr>
                <w:rFonts w:ascii="Calibri" w:hAnsi="Calibri"/>
                <w:sz w:val="22"/>
              </w:rPr>
              <w:t>92.6</w:t>
            </w:r>
          </w:p>
        </w:tc>
        <w:tc>
          <w:tcPr>
            <w:tcW w:type="dxa" w:w="2160"/>
          </w:tcPr>
          <w:p>
            <w:r>
              <w:rPr>
                <w:rFonts w:ascii="Calibri" w:hAnsi="Calibri"/>
                <w:sz w:val="22"/>
              </w:rPr>
              <w:t>104.9</w:t>
            </w:r>
          </w:p>
        </w:tc>
      </w:tr>
      <w:tr>
        <w:tc>
          <w:tcPr>
            <w:tcW w:type="dxa" w:w="2160"/>
          </w:tcPr>
          <w:p>
            <w:r>
              <w:rPr>
                <w:rFonts w:ascii="Calibri" w:hAnsi="Calibri"/>
                <w:sz w:val="22"/>
              </w:rPr>
              <w:t>Jul 7, 2026 (Leadership 8-K)</w:t>
            </w:r>
          </w:p>
        </w:tc>
        <w:tc>
          <w:tcPr>
            <w:tcW w:type="dxa" w:w="2160"/>
          </w:tcPr>
          <w:p>
            <w:r>
              <w:rPr>
                <w:rFonts w:ascii="Calibri" w:hAnsi="Calibri"/>
                <w:sz w:val="22"/>
              </w:rPr>
              <w:t>98.9</w:t>
            </w:r>
          </w:p>
        </w:tc>
        <w:tc>
          <w:tcPr>
            <w:tcW w:type="dxa" w:w="2160"/>
          </w:tcPr>
          <w:p>
            <w:r>
              <w:rPr>
                <w:rFonts w:ascii="Calibri" w:hAnsi="Calibri"/>
                <w:sz w:val="22"/>
              </w:rPr>
              <w:t>95.9</w:t>
            </w:r>
          </w:p>
        </w:tc>
        <w:tc>
          <w:tcPr>
            <w:tcW w:type="dxa" w:w="2160"/>
          </w:tcPr>
          <w:p>
            <w:r>
              <w:rPr>
                <w:rFonts w:ascii="Calibri" w:hAnsi="Calibri"/>
                <w:sz w:val="22"/>
              </w:rPr>
              <w:t>105.1</w:t>
            </w:r>
          </w:p>
        </w:tc>
      </w:tr>
      <w:tr>
        <w:tc>
          <w:tcPr>
            <w:tcW w:type="dxa" w:w="2160"/>
          </w:tcPr>
          <w:p>
            <w:r>
              <w:rPr>
                <w:rFonts w:ascii="Calibri" w:hAnsi="Calibri"/>
                <w:sz w:val="22"/>
              </w:rPr>
              <w:t>Jul 22, 2026 (Latest)</w:t>
            </w:r>
          </w:p>
        </w:tc>
        <w:tc>
          <w:tcPr>
            <w:tcW w:type="dxa" w:w="2160"/>
          </w:tcPr>
          <w:p>
            <w:r>
              <w:rPr>
                <w:rFonts w:ascii="Calibri" w:hAnsi="Calibri"/>
                <w:sz w:val="22"/>
              </w:rPr>
              <w:t>102.2</w:t>
            </w:r>
          </w:p>
        </w:tc>
        <w:tc>
          <w:tcPr>
            <w:tcW w:type="dxa" w:w="2160"/>
          </w:tcPr>
          <w:p>
            <w:r>
              <w:rPr>
                <w:rFonts w:ascii="Calibri" w:hAnsi="Calibri"/>
                <w:sz w:val="22"/>
              </w:rPr>
              <w:t>95.1</w:t>
            </w:r>
          </w:p>
        </w:tc>
        <w:tc>
          <w:tcPr>
            <w:tcW w:type="dxa" w:w="2160"/>
          </w:tcPr>
          <w:p>
            <w:r>
              <w:rPr>
                <w:rFonts w:ascii="Calibri" w:hAnsi="Calibri"/>
                <w:sz w:val="22"/>
              </w:rPr>
              <w:t>105.1</w:t>
            </w:r>
          </w:p>
        </w:tc>
      </w:tr>
    </w:tbl>
    <w:p>
      <w:r>
        <w:rPr>
          <w:rFonts w:ascii="Calibri" w:hAnsi="Calibri"/>
          <w:b/>
          <w:color w:val="525866"/>
          <w:sz w:val="22"/>
        </w:rPr>
        <w:t xml:space="preserve">Note: </w:t>
      </w:r>
      <w:r>
        <w:rPr>
          <w:rFonts w:ascii="Calibri" w:hAnsi="Calibri"/>
          <w:color w:val="525866"/>
          <w:sz w:val="22"/>
        </w:rPr>
        <w:t>Indexed to 100 at April 28, 2026 close ($186.72 for TMUS, $115.75 for XLC, $711.69 for SPY). Sector ETF used: XLC (Communication Services Select Sector ETF), which is the appropriate sub-sector ETF for TMUS as a large-cap wireless/telecom company. Key events marked: Evercore TMT Conference (Jun 2), Deutsche Telekom merger speculation trough (late Jun), leadership changes 8-K (Jul 7). Source: Stock Price Data (Yahoo Finance).</w:t>
      </w:r>
    </w:p>
    <w:p>
      <w:r>
        <w:rPr>
          <w:rFonts w:ascii="Calibri" w:hAnsi="Calibri"/>
          <w:b/>
          <w:color w:val="525866"/>
          <w:sz w:val="22"/>
        </w:rPr>
        <w:t xml:space="preserve">Valuation Context: </w:t>
      </w:r>
      <w:r>
        <w:rPr>
          <w:rFonts w:ascii="Calibri" w:hAnsi="Calibri"/>
          <w:color w:val="525866"/>
          <w:sz w:val="22"/>
        </w:rPr>
        <w:t>TMUS currently trades at ~7.5x NTM EV/EBITDA, down from ~7.9x three months ago and ~9.5x twelve months ago. The 12-month multiple compression of ~22% has been the dominant driver of the stock’s -18% total return over that period, as EBITDA estimates have actually risen. At current levels, the stock is pricing in continued execution but no re-rating, which creates asymmetric upside if the Q2 print triggers a guidance raise and multiple recovery.</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material post-Q1 development is the leadership restructuring announced July 7 (Chief Business &amp; Product Officer Michael Katz departing, new Chief Enterprise Officer hired), which signals a strategic pivot toward enterprise growth but introduces near-term execution uncertainty. The Deutsche Telekom merger speculation that weighed on the stock through June has been addressed by management but not resolved.</w:t>
      </w:r>
    </w:p>
    <w:p>
      <w:pPr>
        <w:pStyle w:val="ListBullet"/>
        <w:ind w:left="360" w:hanging="360"/>
      </w:pPr>
      <w:r>
        <w:rPr>
          <w:rFonts w:ascii="Calibri" w:hAnsi="Calibri"/>
          <w:b/>
          <w:color w:val="525866"/>
          <w:sz w:val="22"/>
        </w:rPr>
        <w:t>Jul 7, 2026 — Leadership Restructuring (8-K):</w:t>
      </w:r>
      <w:r>
        <w:rPr>
          <w:rFonts w:ascii="Calibri" w:hAnsi="Calibri"/>
          <w:color w:val="525866"/>
          <w:sz w:val="22"/>
        </w:rPr>
        <w:t xml:space="preserve"> T-Mobile announced Chris Sambar appointed as Chief Enterprise Officer (effective by Oct 14, 2026); Michael Katz (Chief Business &amp; Product Officer, 20+ year veteran) departing effective July 8, remaining as strategic advisor through Dec 2026; André Almeida transitions to Chief Marketing, Brand &amp; Broadband Officer; CTO John Saw’s scope expanded to include product engineering and cybersecurity. </w:t>
      </w:r>
      <w:r>
        <w:rPr>
          <w:rFonts w:ascii="Calibri" w:hAnsi="Calibri"/>
          <w:b/>
          <w:color w:val="525866"/>
          <w:sz w:val="22"/>
        </w:rPr>
        <w:t>Implication:</w:t>
      </w:r>
      <w:r>
        <w:rPr>
          <w:rFonts w:ascii="Calibri" w:hAnsi="Calibri"/>
          <w:color w:val="525866"/>
          <w:sz w:val="22"/>
        </w:rPr>
        <w:t xml:space="preserve"> Katz’s departure is notable given his long tenure and role overseeing product strategy; the enterprise-focused hire of Sambar signals T-Mobile is doubling down on the enterprise market opportunity (currently low-to-mid teens market share). Near-term execution risk is modest but worth monitoring.</w:t>
      </w:r>
    </w:p>
    <w:p>
      <w:pPr>
        <w:pStyle w:val="ListBullet"/>
        <w:ind w:left="360" w:hanging="360"/>
      </w:pPr>
      <w:r>
        <w:rPr>
          <w:rFonts w:ascii="Calibri" w:hAnsi="Calibri"/>
          <w:b/>
          <w:color w:val="525866"/>
          <w:sz w:val="22"/>
        </w:rPr>
        <w:t>May 14, 2026 — AT&amp;T/T-Mobile/Verizon Satellite JV Agreement in Principle:</w:t>
      </w:r>
      <w:r>
        <w:rPr>
          <w:rFonts w:ascii="Calibri" w:hAnsi="Calibri"/>
          <w:color w:val="525866"/>
          <w:sz w:val="22"/>
        </w:rPr>
        <w:t xml:space="preserve"> The three major carriers announced an agreement to form a JV to eliminate wireless dead zones by pooling spectrum for LEO satellite operators, creating industry specifications and a unified platform. </w:t>
      </w:r>
      <w:r>
        <w:rPr>
          <w:rFonts w:ascii="Calibri" w:hAnsi="Calibri"/>
          <w:b/>
          <w:color w:val="525866"/>
          <w:sz w:val="22"/>
        </w:rPr>
        <w:t>Implication:</w:t>
      </w:r>
      <w:r>
        <w:rPr>
          <w:rFonts w:ascii="Calibri" w:hAnsi="Calibri"/>
          <w:color w:val="525866"/>
          <w:sz w:val="22"/>
        </w:rPr>
        <w:t xml:space="preserve"> Frames satellite as a standard industry feature rather than a differentiator; removes a potential competitive threat from satellite MVNO agreements and standardizes the category. Neutral to slightly positive for TMUS.</w:t>
      </w:r>
    </w:p>
    <w:p>
      <w:pPr>
        <w:pStyle w:val="ListBullet"/>
        <w:ind w:left="360" w:hanging="360"/>
      </w:pPr>
      <w:r>
        <w:rPr>
          <w:rFonts w:ascii="Calibri" w:hAnsi="Calibri"/>
          <w:b/>
          <w:color w:val="525866"/>
          <w:sz w:val="22"/>
        </w:rPr>
        <w:t>May 13, 2026 — FWA Long-Term Target Raised (MoffettNathanson Conference):</w:t>
      </w:r>
      <w:r>
        <w:rPr>
          <w:rFonts w:ascii="Calibri" w:hAnsi="Calibri"/>
          <w:color w:val="525866"/>
          <w:sz w:val="22"/>
        </w:rPr>
        <w:t xml:space="preserve"> CFO Peter Osvaldik raised the 5G broadband subscriber target to 15 million by 2030 (from prior level), citing 50% speed improvement over two years, 50% faster than nearest FWA competitor, and latest-gen CPE delivering ~400 Mbps over Wi-Fi. </w:t>
      </w:r>
      <w:r>
        <w:rPr>
          <w:rFonts w:ascii="Calibri" w:hAnsi="Calibri"/>
          <w:b/>
          <w:color w:val="525866"/>
          <w:sz w:val="22"/>
        </w:rPr>
        <w:t>Implication:</w:t>
      </w:r>
      <w:r>
        <w:rPr>
          <w:rFonts w:ascii="Calibri" w:hAnsi="Calibri"/>
          <w:color w:val="525866"/>
          <w:sz w:val="22"/>
        </w:rPr>
        <w:t xml:space="preserve"> Positive signal for broadband net add trajectory; reinforces the durability of FWA as a technology and the long-term TAM expansion thesis.</w:t>
      </w:r>
    </w:p>
    <w:p>
      <w:pPr>
        <w:pStyle w:val="ListBullet"/>
        <w:ind w:left="360" w:hanging="360"/>
      </w:pPr>
      <w:r>
        <w:rPr>
          <w:rFonts w:ascii="Calibri" w:hAnsi="Calibri"/>
          <w:b/>
          <w:color w:val="525866"/>
          <w:sz w:val="22"/>
        </w:rPr>
        <w:t>May 2026 — S&amp;P Credit Rating Upgrade to BBB+:</w:t>
      </w:r>
      <w:r>
        <w:rPr>
          <w:rFonts w:ascii="Calibri" w:hAnsi="Calibri"/>
          <w:color w:val="525866"/>
          <w:sz w:val="22"/>
        </w:rPr>
        <w:t xml:space="preserve"> S&amp;P upgraded T-Mobile’s credit rating to BBB+, reflecting continued market share gains and improving credit metrics. </w:t>
      </w:r>
      <w:r>
        <w:rPr>
          <w:rFonts w:ascii="Calibri" w:hAnsi="Calibri"/>
          <w:b/>
          <w:color w:val="525866"/>
          <w:sz w:val="22"/>
        </w:rPr>
        <w:t>Implication:</w:t>
      </w:r>
      <w:r>
        <w:rPr>
          <w:rFonts w:ascii="Calibri" w:hAnsi="Calibri"/>
          <w:color w:val="525866"/>
          <w:sz w:val="22"/>
        </w:rPr>
        <w:t xml:space="preserve"> Reduces cost of debt and expands the investor base; supports the capital return program and fiber JV investment capacity.</w:t>
      </w:r>
    </w:p>
    <w:p>
      <w:pPr>
        <w:pStyle w:val="ListBullet"/>
        <w:ind w:left="360" w:hanging="360"/>
      </w:pPr>
      <w:r>
        <w:rPr>
          <w:rFonts w:ascii="Calibri" w:hAnsi="Calibri"/>
          <w:b/>
          <w:color w:val="525866"/>
          <w:sz w:val="22"/>
        </w:rPr>
        <w:t>Apr 30, 2026 — T-Fiber Pricing Restructured:</w:t>
      </w:r>
      <w:r>
        <w:rPr>
          <w:rFonts w:ascii="Calibri" w:hAnsi="Calibri"/>
          <w:color w:val="525866"/>
          <w:sz w:val="22"/>
        </w:rPr>
        <w:t xml:space="preserve"> T-Mobile introduced new T-Fiber pricing with lower entry-point tiers (as low as $45/month), removed the wireless-bundling requirement for discounted pricing, and eliminated the five-year price guarantee. </w:t>
      </w:r>
      <w:r>
        <w:rPr>
          <w:rFonts w:ascii="Calibri" w:hAnsi="Calibri"/>
          <w:b/>
          <w:color w:val="525866"/>
          <w:sz w:val="22"/>
        </w:rPr>
        <w:t>Implication:</w:t>
      </w:r>
      <w:r>
        <w:rPr>
          <w:rFonts w:ascii="Calibri" w:hAnsi="Calibri"/>
          <w:color w:val="525866"/>
          <w:sz w:val="22"/>
        </w:rPr>
        <w:t xml:space="preserve"> Designed to drive customer self-selection up rate plans; may create near-term ARPA pressure but supports long-term penetration in fiber JV markets.</w:t>
      </w:r>
    </w:p>
    <w:p>
      <w:pPr>
        <w:pStyle w:val="ListBullet"/>
        <w:ind w:left="360" w:hanging="360"/>
      </w:pPr>
      <w:r>
        <w:rPr>
          <w:rFonts w:ascii="Calibri" w:hAnsi="Calibri"/>
          <w:b/>
          <w:color w:val="525866"/>
          <w:sz w:val="22"/>
        </w:rPr>
        <w:t>Apr 28, 2026 — Two New Fiber JVs Announced (Q1 Earnings):</w:t>
      </w:r>
      <w:r>
        <w:rPr>
          <w:rFonts w:ascii="Calibri" w:hAnsi="Calibri"/>
          <w:color w:val="525866"/>
          <w:sz w:val="22"/>
        </w:rPr>
        <w:t xml:space="preserve"> T-Mobile announced JVs to acquire GoNetSpeed/Greenlight Networks and i3 Broadband, totaling ~$2.7B of investment and adding ~1.8M fiber passings. </w:t>
      </w:r>
      <w:r>
        <w:rPr>
          <w:rFonts w:ascii="Calibri" w:hAnsi="Calibri"/>
          <w:b/>
          <w:color w:val="525866"/>
          <w:sz w:val="22"/>
        </w:rPr>
        <w:t>Implication:</w:t>
      </w:r>
      <w:r>
        <w:rPr>
          <w:rFonts w:ascii="Calibri" w:hAnsi="Calibri"/>
          <w:color w:val="525866"/>
          <w:sz w:val="22"/>
        </w:rPr>
        <w:t xml:space="preserve"> Accelerates the fiber strategy; management cited 20% first-year penetration in early greenfield cohorts, validating the JV model.</w:t>
      </w:r>
    </w:p>
    <w:p>
      <w:pPr>
        <w:pStyle w:val="ListBullet"/>
        <w:ind w:left="360" w:hanging="360"/>
      </w:pPr>
      <w:r>
        <w:rPr>
          <w:rFonts w:ascii="Calibri" w:hAnsi="Calibri"/>
          <w:b/>
          <w:color w:val="525866"/>
          <w:sz w:val="22"/>
        </w:rPr>
        <w:t>Apr 28, 2026 — Shareholder Return Authorization Increased:</w:t>
      </w:r>
      <w:r>
        <w:rPr>
          <w:rFonts w:ascii="Calibri" w:hAnsi="Calibri"/>
          <w:color w:val="525866"/>
          <w:sz w:val="22"/>
        </w:rPr>
        <w:t xml:space="preserve"> Board increased 2026 stockholder return authorization by $3.6B to $18.2B total (essentially 100% of FCF guidance). </w:t>
      </w:r>
      <w:r>
        <w:rPr>
          <w:rFonts w:ascii="Calibri" w:hAnsi="Calibri"/>
          <w:b/>
          <w:color w:val="525866"/>
          <w:sz w:val="22"/>
        </w:rPr>
        <w:t>Implication:</w:t>
      </w:r>
      <w:r>
        <w:rPr>
          <w:rFonts w:ascii="Calibri" w:hAnsi="Calibri"/>
          <w:color w:val="525866"/>
          <w:sz w:val="22"/>
        </w:rPr>
        <w:t xml:space="preserve"> Signals management confidence in FCF generation; reduces overhang from capital allocation uncertainty.</w:t>
      </w:r>
    </w:p>
    <w:p>
      <w:pPr>
        <w:pStyle w:val="ListBullet"/>
        <w:ind w:left="360" w:hanging="360"/>
      </w:pPr>
      <w:r>
        <w:rPr>
          <w:rFonts w:ascii="Calibri" w:hAnsi="Calibri"/>
          <w:b/>
          <w:color w:val="525866"/>
          <w:sz w:val="22"/>
        </w:rPr>
        <w:t>Ongoing — Deutsche Telekom Merger Speculation:</w:t>
      </w:r>
      <w:r>
        <w:rPr>
          <w:rFonts w:ascii="Calibri" w:hAnsi="Calibri"/>
          <w:color w:val="525866"/>
          <w:sz w:val="22"/>
        </w:rPr>
        <w:t xml:space="preserve"> Bloomberg and other outlets reported DT interest in a full buyout of TMUS minority shareholders. Management confirmed any such transaction would require majority-of-the-minority shareholder approval (confirmed by DT and independent directors). </w:t>
      </w:r>
      <w:r>
        <w:rPr>
          <w:rFonts w:ascii="Calibri" w:hAnsi="Calibri"/>
          <w:b/>
          <w:color w:val="525866"/>
          <w:sz w:val="22"/>
        </w:rPr>
        <w:t>Implication:</w:t>
      </w:r>
      <w:r>
        <w:rPr>
          <w:rFonts w:ascii="Calibri" w:hAnsi="Calibri"/>
          <w:color w:val="525866"/>
          <w:sz w:val="22"/>
        </w:rPr>
        <w:t xml:space="preserve"> Created significant stock volatility through June (stock hit ~$168 trough). Management has been consistent in not commenting on speculation while confirming governance protections. Remains an overhang until resolved.</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Insider activity since the Q1 earnings call is limited and mixed — one open-market buy by the Chief Broadband Officer (discretionary, ~$1M) is a modest positive signal, offset by a 10b5-1 planned sale by the COO and a discretionary sale by the Chief Business &amp; Product Officer (who subsequently departed). Nothing here rises to the level of a strong directional signal.</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André Almeida</w:t>
            </w:r>
          </w:p>
        </w:tc>
        <w:tc>
          <w:tcPr>
            <w:tcW w:type="dxa" w:w="1234"/>
          </w:tcPr>
          <w:p>
            <w:r>
              <w:rPr>
                <w:rFonts w:ascii="Calibri" w:hAnsi="Calibri"/>
                <w:sz w:val="22"/>
              </w:rPr>
              <w:t>Chief Broadband, Enterprise &amp; Emerging Business Officer</w:t>
            </w:r>
          </w:p>
        </w:tc>
        <w:tc>
          <w:tcPr>
            <w:tcW w:type="dxa" w:w="1234"/>
          </w:tcPr>
          <w:p>
            <w:r>
              <w:rPr>
                <w:rFonts w:ascii="Calibri" w:hAnsi="Calibri"/>
                <w:b/>
                <w:color w:val="30A46C"/>
                <w:sz w:val="22"/>
              </w:rPr>
              <w:t>Open Market Buy</w:t>
            </w:r>
          </w:p>
        </w:tc>
        <w:tc>
          <w:tcPr>
            <w:tcW w:type="dxa" w:w="1234"/>
          </w:tcPr>
          <w:p>
            <w:r>
              <w:rPr>
                <w:rFonts w:ascii="Calibri" w:hAnsi="Calibri"/>
                <w:sz w:val="22"/>
              </w:rPr>
              <w:t>5,097</w:t>
            </w:r>
          </w:p>
        </w:tc>
        <w:tc>
          <w:tcPr>
            <w:tcW w:type="dxa" w:w="1234"/>
          </w:tcPr>
          <w:p>
            <w:r>
              <w:rPr>
                <w:rFonts w:ascii="Calibri" w:hAnsi="Calibri"/>
                <w:sz w:val="22"/>
              </w:rPr>
              <w:t>~$997K</w:t>
            </w:r>
          </w:p>
        </w:tc>
        <w:tc>
          <w:tcPr>
            <w:tcW w:type="dxa" w:w="1234"/>
          </w:tcPr>
          <w:p>
            <w:r>
              <w:rPr>
                <w:rFonts w:ascii="Calibri" w:hAnsi="Calibri"/>
                <w:sz w:val="22"/>
              </w:rPr>
              <w:t>May 1, 2026</w:t>
            </w:r>
          </w:p>
        </w:tc>
        <w:tc>
          <w:tcPr>
            <w:tcW w:type="dxa" w:w="1234"/>
          </w:tcPr>
          <w:p>
            <w:r>
              <w:rPr>
                <w:rFonts w:ascii="Calibri" w:hAnsi="Calibri"/>
                <w:sz w:val="22"/>
              </w:rPr>
              <w:t>Discretionary open-market purchase; no 10b5-1 plan. Positive signal from the executive overseeing broadband strategy.</w:t>
            </w:r>
          </w:p>
        </w:tc>
      </w:tr>
      <w:tr>
        <w:tc>
          <w:tcPr>
            <w:tcW w:type="dxa" w:w="1234"/>
          </w:tcPr>
          <w:p>
            <w:r>
              <w:rPr>
                <w:rFonts w:ascii="Calibri" w:hAnsi="Calibri"/>
                <w:sz w:val="22"/>
              </w:rPr>
              <w:t>Michael J. Katz</w:t>
            </w:r>
          </w:p>
        </w:tc>
        <w:tc>
          <w:tcPr>
            <w:tcW w:type="dxa" w:w="1234"/>
          </w:tcPr>
          <w:p>
            <w:r>
              <w:rPr>
                <w:rFonts w:ascii="Calibri" w:hAnsi="Calibri"/>
                <w:sz w:val="22"/>
              </w:rPr>
              <w:t>Chief Business &amp; Product Officer</w:t>
            </w:r>
          </w:p>
        </w:tc>
        <w:tc>
          <w:tcPr>
            <w:tcW w:type="dxa" w:w="1234"/>
          </w:tcPr>
          <w:p>
            <w:r>
              <w:rPr>
                <w:rFonts w:ascii="Calibri" w:hAnsi="Calibri"/>
                <w:sz w:val="22"/>
              </w:rPr>
              <w:t>Open Market Sale</w:t>
            </w:r>
          </w:p>
        </w:tc>
        <w:tc>
          <w:tcPr>
            <w:tcW w:type="dxa" w:w="1234"/>
          </w:tcPr>
          <w:p>
            <w:r>
              <w:rPr>
                <w:rFonts w:ascii="Calibri" w:hAnsi="Calibri"/>
                <w:sz w:val="22"/>
              </w:rPr>
              <w:t>5,000</w:t>
            </w:r>
          </w:p>
        </w:tc>
        <w:tc>
          <w:tcPr>
            <w:tcW w:type="dxa" w:w="1234"/>
          </w:tcPr>
          <w:p>
            <w:r>
              <w:rPr>
                <w:rFonts w:ascii="Calibri" w:hAnsi="Calibri"/>
                <w:sz w:val="22"/>
              </w:rPr>
              <w:t>~$978K</w:t>
            </w:r>
          </w:p>
        </w:tc>
        <w:tc>
          <w:tcPr>
            <w:tcW w:type="dxa" w:w="1234"/>
          </w:tcPr>
          <w:p>
            <w:r>
              <w:rPr>
                <w:rFonts w:ascii="Calibri" w:hAnsi="Calibri"/>
                <w:sz w:val="22"/>
              </w:rPr>
              <w:t>May 1, 2026</w:t>
            </w:r>
          </w:p>
        </w:tc>
        <w:tc>
          <w:tcPr>
            <w:tcW w:type="dxa" w:w="1234"/>
          </w:tcPr>
          <w:p>
            <w:r>
              <w:rPr>
                <w:rFonts w:ascii="Calibri" w:hAnsi="Calibri"/>
                <w:sz w:val="22"/>
              </w:rPr>
              <w:t>Discretionary sale; no 10b5-1 plan. Katz subsequently announced departure effective July 8, 2026 — sale may have been pre-departure liquidity.</w:t>
            </w:r>
          </w:p>
        </w:tc>
      </w:tr>
      <w:tr>
        <w:tc>
          <w:tcPr>
            <w:tcW w:type="dxa" w:w="1234"/>
          </w:tcPr>
          <w:p>
            <w:r>
              <w:rPr>
                <w:rFonts w:ascii="Calibri" w:hAnsi="Calibri"/>
                <w:sz w:val="22"/>
              </w:rPr>
              <w:t>Jon Freier</w:t>
            </w:r>
          </w:p>
        </w:tc>
        <w:tc>
          <w:tcPr>
            <w:tcW w:type="dxa" w:w="1234"/>
          </w:tcPr>
          <w:p>
            <w:r>
              <w:rPr>
                <w:rFonts w:ascii="Calibri" w:hAnsi="Calibri"/>
                <w:sz w:val="22"/>
              </w:rPr>
              <w:t>Chief Operating Officer</w:t>
            </w:r>
          </w:p>
        </w:tc>
        <w:tc>
          <w:tcPr>
            <w:tcW w:type="dxa" w:w="1234"/>
          </w:tcPr>
          <w:p>
            <w:r>
              <w:rPr>
                <w:rFonts w:ascii="Calibri" w:hAnsi="Calibri"/>
                <w:sz w:val="22"/>
              </w:rPr>
              <w:t>10b5-1 Planned Sale</w:t>
            </w:r>
          </w:p>
        </w:tc>
        <w:tc>
          <w:tcPr>
            <w:tcW w:type="dxa" w:w="1234"/>
          </w:tcPr>
          <w:p>
            <w:r>
              <w:rPr>
                <w:rFonts w:ascii="Calibri" w:hAnsi="Calibri"/>
                <w:sz w:val="22"/>
              </w:rPr>
              <w:t>4,799</w:t>
            </w:r>
          </w:p>
        </w:tc>
        <w:tc>
          <w:tcPr>
            <w:tcW w:type="dxa" w:w="1234"/>
          </w:tcPr>
          <w:p>
            <w:r>
              <w:rPr>
                <w:rFonts w:ascii="Calibri" w:hAnsi="Calibri"/>
                <w:sz w:val="22"/>
              </w:rPr>
              <w:t>~$913K</w:t>
            </w:r>
          </w:p>
        </w:tc>
        <w:tc>
          <w:tcPr>
            <w:tcW w:type="dxa" w:w="1234"/>
          </w:tcPr>
          <w:p>
            <w:r>
              <w:rPr>
                <w:rFonts w:ascii="Calibri" w:hAnsi="Calibri"/>
                <w:sz w:val="22"/>
              </w:rPr>
              <w:t>May 21, 2026</w:t>
            </w:r>
          </w:p>
        </w:tc>
        <w:tc>
          <w:tcPr>
            <w:tcW w:type="dxa" w:w="1234"/>
          </w:tcPr>
          <w:p>
            <w:r>
              <w:rPr>
                <w:rFonts w:ascii="Calibri" w:hAnsi="Calibri"/>
                <w:sz w:val="22"/>
              </w:rPr>
              <w:t>Pre-planned 10b5-1 sale; routine/obligation-driven. Not a discretionary signal.</w:t>
            </w:r>
          </w:p>
        </w:tc>
      </w:tr>
    </w:tbl>
    <w:p>
      <w:r>
        <w:rPr>
          <w:rFonts w:ascii="Calibri" w:hAnsi="Calibri"/>
          <w:i/>
          <w:color w:val="525866"/>
          <w:sz w:val="22"/>
        </w:rPr>
        <w:t>Source: SEC Form 4 Filings (Insider Transaction Data). Approximate values calculated using transaction-date closing prices.</w:t>
      </w:r>
    </w:p>
    <w:p>
      <w:r>
        <w:br w:type="page"/>
      </w:r>
    </w:p>
    <w:p>
      <w:pPr>
        <w:pStyle w:val="Heading2"/>
      </w:pPr>
      <w:r>
        <w:rPr>
          <w:rFonts w:ascii="Calibri" w:hAnsi="Calibri"/>
          <w:b/>
          <w:color w:val="3B4259"/>
          <w:sz w:val="28"/>
        </w:rPr>
        <w:t>8. Peer Commentary Read-Through</w:t>
      </w:r>
    </w:p>
    <w:p>
      <w:r>
        <w:rPr>
          <w:rFonts w:ascii="Calibri" w:hAnsi="Calibri"/>
          <w:b/>
          <w:color w:val="525866"/>
          <w:sz w:val="22"/>
        </w:rPr>
        <w:t xml:space="preserve">Key Takeaway: </w:t>
      </w:r>
      <w:r>
        <w:rPr>
          <w:rFonts w:ascii="Calibri" w:hAnsi="Calibri"/>
          <w:color w:val="525866"/>
          <w:sz w:val="22"/>
        </w:rPr>
        <w:t>AT&amp;T’s Q2 2026 results (reported July 22, 2026 — the day before TMUS earnings) are the most directly relevant read-through: AT&amp;T posted 432K postpaid phone net adds (+7.7% YoY), record fiber net adds of 367K, and accelerating service revenue growth — all pointing to a healthy wireless demand environment that should be a tailwind for TMUS. Critically, AT&amp;T also reported improving churn and growing ARPU, consistent with the industry-wide pricing discipline narrative that underpins TMUS’s ARPA re-acceleration thesis for H2 2026.</w:t>
      </w:r>
    </w:p>
    <w:p>
      <w:r>
        <w:rPr>
          <w:rFonts w:ascii="Calibri" w:hAnsi="Calibri"/>
          <w:b/>
          <w:color w:val="525866"/>
          <w:sz w:val="22"/>
        </w:rPr>
        <w:t xml:space="preserve">Note on scope: </w:t>
      </w:r>
      <w:r>
        <w:rPr>
          <w:rFonts w:ascii="Calibri" w:hAnsi="Calibri"/>
          <w:i/>
          <w:color w:val="525866"/>
          <w:sz w:val="22"/>
        </w:rPr>
        <w:t>Only peer commentary from the past 60 days (since approximately May 22, 2026) that speaks to current Q2 2026 trends or forward outlook is included below. Retrospective commentary on prior-quarter results is excluded unless it directly informs current-quarter dynamics.</w:t>
      </w:r>
    </w:p>
    <w:p>
      <w:pPr>
        <w:pStyle w:val="Heading3"/>
      </w:pPr>
      <w:r>
        <w:rPr>
          <w:rFonts w:ascii="Calibri" w:hAnsi="Calibri"/>
          <w:b/>
          <w:color w:val="3B4259"/>
          <w:sz w:val="24"/>
        </w:rPr>
        <w:t>AT&amp;T (T) — Q2 2026 Earnings (Reported July 22, 2026)</w:t>
      </w:r>
    </w:p>
    <w:p>
      <w:r>
        <w:rPr>
          <w:rFonts w:ascii="Calibri" w:hAnsi="Calibri"/>
          <w:b/>
          <w:color w:val="525866"/>
          <w:sz w:val="22"/>
        </w:rPr>
        <w:t xml:space="preserve">Relevance: </w:t>
      </w:r>
      <w:r>
        <w:rPr>
          <w:rFonts w:ascii="Calibri" w:hAnsi="Calibri"/>
          <w:color w:val="525866"/>
          <w:sz w:val="22"/>
        </w:rPr>
        <w:t>AT&amp;T is TMUS’s most direct wireless peer and reports one day before TMUS. Its Q2 2026 results provide the most timely read-through on wireless demand, competitive intensity, churn, and ARPU trends in the current quarter.</w:t>
      </w:r>
    </w:p>
    <w:p>
      <w:pPr>
        <w:pStyle w:val="ListBullet"/>
        <w:ind w:left="360" w:hanging="360"/>
      </w:pPr>
      <w:r>
        <w:rPr>
          <w:rFonts w:ascii="Calibri" w:hAnsi="Calibri"/>
          <w:b/>
          <w:color w:val="525866"/>
          <w:sz w:val="22"/>
        </w:rPr>
        <w:t>Postpaid Phone Net Adds of 432K (+7.7% YoY):</w:t>
      </w:r>
      <w:r>
        <w:rPr>
          <w:rFonts w:ascii="Calibri" w:hAnsi="Calibri"/>
          <w:color w:val="525866"/>
          <w:sz w:val="22"/>
        </w:rPr>
        <w:t xml:space="preserve"> AT&amp;T added 432K postpaid phone net adds in Q2 2026, its best consumer postpaid wireless account result in over three years (+147K consumer postpaid wireless accounts). </w:t>
      </w:r>
      <w:r>
        <w:rPr>
          <w:rFonts w:ascii="Calibri" w:hAnsi="Calibri"/>
          <w:b/>
          <w:color w:val="525866"/>
          <w:sz w:val="22"/>
        </w:rPr>
        <w:t>TMUS Read-Through:</w:t>
      </w:r>
      <w:r>
        <w:rPr>
          <w:rFonts w:ascii="Calibri" w:hAnsi="Calibri"/>
          <w:color w:val="525866"/>
          <w:sz w:val="22"/>
        </w:rPr>
        <w:t xml:space="preserve"> A strong AT&amp;T subscriber quarter is a double-edged signal — it confirms healthy wireless demand but also suggests AT&amp;T is competing effectively. However, AT&amp;T’s CEO attributed the strength to its converged fiber+wireless strategy, which is a different go-to-market than TMUS’s network-quality-led approach. Net positive for industry demand; neutral to slightly negative on competitive intensity.</w:t>
      </w:r>
    </w:p>
    <w:p>
      <w:pPr>
        <w:pStyle w:val="ListBullet"/>
        <w:ind w:left="360" w:hanging="360"/>
      </w:pPr>
      <w:r>
        <w:rPr>
          <w:rFonts w:ascii="Calibri" w:hAnsi="Calibri"/>
          <w:b/>
          <w:color w:val="525866"/>
          <w:sz w:val="22"/>
        </w:rPr>
        <w:t>Record Fiber Net Adds of 367K (+36.4% YoY) and FWA Net Adds of 279K (+16.3% YoY):</w:t>
      </w:r>
      <w:r>
        <w:rPr>
          <w:rFonts w:ascii="Calibri" w:hAnsi="Calibri"/>
          <w:color w:val="525866"/>
          <w:sz w:val="22"/>
        </w:rPr>
        <w:t xml:space="preserve"> AT&amp;T reported its best-ever Q2 for fiber net adds and a record quarter for combined fiber+FWA net adds. Advanced home internet revenue grew 27.3% YoY. </w:t>
      </w:r>
      <w:r>
        <w:rPr>
          <w:rFonts w:ascii="Calibri" w:hAnsi="Calibri"/>
          <w:b/>
          <w:color w:val="525866"/>
          <w:sz w:val="22"/>
        </w:rPr>
        <w:t>TMUS Read-Through:</w:t>
      </w:r>
      <w:r>
        <w:rPr>
          <w:rFonts w:ascii="Calibri" w:hAnsi="Calibri"/>
          <w:color w:val="525866"/>
          <w:sz w:val="22"/>
        </w:rPr>
        <w:t xml:space="preserve"> Confirms robust broadband demand environment. TMUS’s FWA business (consensus ~510K net adds for Q2) should benefit from the same tailwinds. AT&amp;T CEO Stankey reiterated that FWA is “not the optimal technology to serve fixed traffic over the long haul,” reinforcing TMUS’s differentiated FWA positioning.</w:t>
      </w:r>
    </w:p>
    <w:p>
      <w:pPr>
        <w:pStyle w:val="ListBullet"/>
        <w:ind w:left="360" w:hanging="360"/>
      </w:pPr>
      <w:r>
        <w:rPr>
          <w:rFonts w:ascii="Calibri" w:hAnsi="Calibri"/>
          <w:b/>
          <w:color w:val="525866"/>
          <w:sz w:val="22"/>
        </w:rPr>
        <w:t>Postpaid Phone Churn Improved to 0.86% (-1bp YoY):</w:t>
      </w:r>
      <w:r>
        <w:rPr>
          <w:rFonts w:ascii="Calibri" w:hAnsi="Calibri"/>
          <w:color w:val="525866"/>
          <w:sz w:val="22"/>
        </w:rPr>
        <w:t xml:space="preserve"> AT&amp;T reported improving postpaid phone churn alongside growing ARPU — a combination that management described as “impressive.” Industry-wide churn is “settling down” after accelerating in 2025. </w:t>
      </w:r>
      <w:r>
        <w:rPr>
          <w:rFonts w:ascii="Calibri" w:hAnsi="Calibri"/>
          <w:b/>
          <w:color w:val="525866"/>
          <w:sz w:val="22"/>
        </w:rPr>
        <w:t>TMUS Read-Through:</w:t>
      </w:r>
      <w:r>
        <w:rPr>
          <w:rFonts w:ascii="Calibri" w:hAnsi="Calibri"/>
          <w:color w:val="525866"/>
          <w:sz w:val="22"/>
        </w:rPr>
        <w:t xml:space="preserve"> Directly supportive of TMUS’s postpaid account churn narrative. TMUS management guided Q2 account churn to continue the structural trend (higher than phone churn due to broadband mix), but underlying phone churn was “pretty stable” in Q1. A settling churn environment is positive for TMUS’s net add trajectory.</w:t>
      </w:r>
    </w:p>
    <w:p>
      <w:pPr>
        <w:pStyle w:val="ListBullet"/>
        <w:ind w:left="360" w:hanging="360"/>
      </w:pPr>
      <w:r>
        <w:rPr>
          <w:rFonts w:ascii="Calibri" w:hAnsi="Calibri"/>
          <w:b/>
          <w:color w:val="525866"/>
          <w:sz w:val="22"/>
        </w:rPr>
        <w:t>Wireless Service Revenue +3.3% YoY; ARPU Growing:</w:t>
      </w:r>
      <w:r>
        <w:rPr>
          <w:rFonts w:ascii="Calibri" w:hAnsi="Calibri"/>
          <w:color w:val="525866"/>
          <w:sz w:val="22"/>
        </w:rPr>
        <w:t xml:space="preserve"> AT&amp;T’s wireless service revenue grew 3.3% YoY in Q2 2026, driven by subscriber growth and pricing actions. Consumer wireless service revenue grew 3.0% YoY; business wireless grew 5.5% YoY. AT&amp;T grew postpaid phone ARPU YoY while simultaneously reducing churn. </w:t>
      </w:r>
      <w:r>
        <w:rPr>
          <w:rFonts w:ascii="Calibri" w:hAnsi="Calibri"/>
          <w:b/>
          <w:color w:val="525866"/>
          <w:sz w:val="22"/>
        </w:rPr>
        <w:t>TMUS Read-Through:</w:t>
      </w:r>
      <w:r>
        <w:rPr>
          <w:rFonts w:ascii="Calibri" w:hAnsi="Calibri"/>
          <w:color w:val="525866"/>
          <w:sz w:val="22"/>
        </w:rPr>
        <w:t xml:space="preserve"> Confirms the industry-wide ARPU expansion thesis. TMUS’s Q2 ARPA is guided to ~2% YoY growth (moderated by acquisition dilution), but the underlying organic trend should be consistent with AT&amp;T’s experience. Positive for TMUS’s H2 ARPA re-acceleration narrative.</w:t>
      </w:r>
    </w:p>
    <w:p>
      <w:pPr>
        <w:pStyle w:val="ListBullet"/>
        <w:ind w:left="360" w:hanging="360"/>
      </w:pPr>
      <w:r>
        <w:rPr>
          <w:rFonts w:ascii="Calibri" w:hAnsi="Calibri"/>
          <w:b/>
          <w:color w:val="525866"/>
          <w:sz w:val="22"/>
        </w:rPr>
        <w:t>AT&amp;T Raised Share Repurchase Target by 25% to ~$10B for 2026:</w:t>
      </w:r>
      <w:r>
        <w:rPr>
          <w:rFonts w:ascii="Calibri" w:hAnsi="Calibri"/>
          <w:color w:val="525866"/>
          <w:sz w:val="22"/>
        </w:rPr>
        <w:t xml:space="preserve"> AT&amp;T increased planned 2026 buybacks from $8B to $10B, representing a pull-forward of planned repurchases through 2028. Total capital return (buybacks + dividends) of ~$18B equals essentially 100% of FCF guidance. </w:t>
      </w:r>
      <w:r>
        <w:rPr>
          <w:rFonts w:ascii="Calibri" w:hAnsi="Calibri"/>
          <w:b/>
          <w:color w:val="525866"/>
          <w:sz w:val="22"/>
        </w:rPr>
        <w:t>TMUS Read-Through:</w:t>
      </w:r>
      <w:r>
        <w:rPr>
          <w:rFonts w:ascii="Calibri" w:hAnsi="Calibri"/>
          <w:color w:val="525866"/>
          <w:sz w:val="22"/>
        </w:rPr>
        <w:t xml:space="preserve"> Confirms the sector-wide trend of aggressive capital return, consistent with TMUS’s own $18.2B 2026 authorization. Positive for sector sentiment.</w:t>
      </w:r>
    </w:p>
    <w:p>
      <w:pPr>
        <w:pStyle w:val="ListBullet"/>
        <w:ind w:left="360" w:hanging="360"/>
      </w:pPr>
      <w:r>
        <w:rPr>
          <w:rFonts w:ascii="Calibri" w:hAnsi="Calibri"/>
          <w:b/>
          <w:color w:val="525866"/>
          <w:sz w:val="22"/>
        </w:rPr>
        <w:t>AT&amp;T Full-Year 2026 Guidance Maintained:</w:t>
      </w:r>
      <w:r>
        <w:rPr>
          <w:rFonts w:ascii="Calibri" w:hAnsi="Calibri"/>
          <w:color w:val="525866"/>
          <w:sz w:val="22"/>
        </w:rPr>
        <w:t xml:space="preserve"> AT&amp;T maintained full-year guidance for consolidated service revenue growth in the low single-digit range, adjusted EBITDA growth of 3%–4%, adjusted EPS of $2.25–$2.35, and free cash flow of $18B. Advanced Connectivity segment expected to deliver 5%+ service revenue growth and 6%+ EBITDA growth for the full year. </w:t>
      </w:r>
      <w:r>
        <w:rPr>
          <w:rFonts w:ascii="Calibri" w:hAnsi="Calibri"/>
          <w:b/>
          <w:color w:val="525866"/>
          <w:sz w:val="22"/>
        </w:rPr>
        <w:t>TMUS Read-Through:</w:t>
      </w:r>
      <w:r>
        <w:rPr>
          <w:rFonts w:ascii="Calibri" w:hAnsi="Calibri"/>
          <w:color w:val="525866"/>
          <w:sz w:val="22"/>
        </w:rPr>
        <w:t xml:space="preserve"> AT&amp;T’s maintained guidance and accelerating Q2 momentum (service revenue growth accelerated 150bps vs. Q1) is a positive read-through for the wireless industry’s H2 trajectory, supporting TMUS’s own guidance for ARPA re-acceleration and continued EBITDA growth.</w:t>
      </w:r>
    </w:p>
    <w:p>
      <w:pPr>
        <w:pStyle w:val="ListBullet"/>
        <w:ind w:left="360" w:hanging="360"/>
      </w:pPr>
      <w:r>
        <w:rPr>
          <w:rFonts w:ascii="Calibri" w:hAnsi="Calibri"/>
          <w:b/>
          <w:color w:val="525866"/>
          <w:sz w:val="22"/>
        </w:rPr>
        <w:t>AT&amp;T on Competitive Dynamics — Convergence vs. Network:</w:t>
      </w:r>
      <w:r>
        <w:rPr>
          <w:rFonts w:ascii="Calibri" w:hAnsi="Calibri"/>
          <w:color w:val="525866"/>
          <w:sz w:val="22"/>
        </w:rPr>
        <w:t xml:space="preserve"> AT&amp;T CEO Stankey emphasized that in dense urban/suburban areas where AT&amp;T builds fiber at scale, “competitors cannot and will not match our network performance or our operating scale and proficiency.” AT&amp;T is directing promotional and retention activity toward converged customers. </w:t>
      </w:r>
      <w:r>
        <w:rPr>
          <w:rFonts w:ascii="Calibri" w:hAnsi="Calibri"/>
          <w:b/>
          <w:color w:val="525866"/>
          <w:sz w:val="22"/>
        </w:rPr>
        <w:t>TMUS Read-Through:</w:t>
      </w:r>
      <w:r>
        <w:rPr>
          <w:rFonts w:ascii="Calibri" w:hAnsi="Calibri"/>
          <w:color w:val="525866"/>
          <w:sz w:val="22"/>
        </w:rPr>
        <w:t xml:space="preserve"> AT&amp;T’s convergence-led strategy is a different competitive vector than TMUS’s network-quality-led approach. TMUS management has consistently argued convergence is a “myth” and that consumers receive no functional benefit from bundling. The two strategies are not directly in conflict in most markets, but AT&amp;T’s strong Q2 account adds suggest the convergence bundle is resonating with some customer segments.</w:t>
      </w:r>
    </w:p>
    <w:p>
      <w:r>
        <w:rPr>
          <w:rFonts w:ascii="Calibri" w:hAnsi="Calibri"/>
          <w:i/>
          <w:color w:val="525866"/>
          <w:sz w:val="22"/>
        </w:rPr>
        <w:t>Source: AT&amp;T Q2 2026 Earnings Release and Earnings Call Transcript (July 22, 2026).</w:t>
      </w:r>
    </w:p>
    <w:p>
      <w:pPr>
        <w:pStyle w:val="Heading3"/>
      </w:pPr>
      <w:r>
        <w:rPr>
          <w:rFonts w:ascii="Calibri" w:hAnsi="Calibri"/>
          <w:b/>
          <w:color w:val="3B4259"/>
          <w:sz w:val="24"/>
        </w:rPr>
        <w:t>Summary Read-Through Table — Peer Signals for TMUS Q2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 / Source</w:t>
            </w:r>
          </w:p>
        </w:tc>
        <w:tc>
          <w:tcPr>
            <w:tcW w:type="dxa" w:w="2160"/>
            <w:shd w:val="clear" w:color="auto" w:fill="3B4259"/>
          </w:tcPr>
          <w:p>
            <w:r>
              <w:rPr>
                <w:rFonts w:ascii="Calibri" w:hAnsi="Calibri"/>
                <w:b/>
                <w:color w:val="FFFFFF"/>
                <w:sz w:val="22"/>
              </w:rPr>
              <w:t>Key Data Point / Commentary</w:t>
            </w:r>
          </w:p>
        </w:tc>
        <w:tc>
          <w:tcPr>
            <w:tcW w:type="dxa" w:w="2160"/>
            <w:shd w:val="clear" w:color="auto" w:fill="3B4259"/>
          </w:tcPr>
          <w:p>
            <w:r>
              <w:rPr>
                <w:rFonts w:ascii="Calibri" w:hAnsi="Calibri"/>
                <w:b/>
                <w:color w:val="FFFFFF"/>
                <w:sz w:val="22"/>
              </w:rPr>
              <w:t>TMUS Implication</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AT&amp;T Q2 2026 (Jul 22)</w:t>
            </w:r>
          </w:p>
        </w:tc>
        <w:tc>
          <w:tcPr>
            <w:tcW w:type="dxa" w:w="2160"/>
          </w:tcPr>
          <w:p>
            <w:r>
              <w:rPr>
                <w:rFonts w:ascii="Calibri" w:hAnsi="Calibri"/>
                <w:sz w:val="22"/>
              </w:rPr>
              <w:t>432K postpaid phone net adds (+7.7% YoY); best consumer account result in 3+ years</w:t>
            </w:r>
          </w:p>
        </w:tc>
        <w:tc>
          <w:tcPr>
            <w:tcW w:type="dxa" w:w="2160"/>
          </w:tcPr>
          <w:p>
            <w:r>
              <w:rPr>
                <w:rFonts w:ascii="Calibri" w:hAnsi="Calibri"/>
                <w:sz w:val="22"/>
              </w:rPr>
              <w:t>Healthy wireless demand environment; competitive but not irrational</w:t>
            </w:r>
          </w:p>
        </w:tc>
        <w:tc>
          <w:tcPr>
            <w:tcW w:type="dxa" w:w="2160"/>
          </w:tcPr>
          <w:p>
            <w:r>
              <w:rPr>
                <w:rFonts w:ascii="Calibri" w:hAnsi="Calibri"/>
                <w:b/>
                <w:color w:val="30A46C"/>
                <w:sz w:val="22"/>
              </w:rPr>
              <w:t>Positive</w:t>
            </w:r>
          </w:p>
        </w:tc>
      </w:tr>
      <w:tr>
        <w:tc>
          <w:tcPr>
            <w:tcW w:type="dxa" w:w="2160"/>
          </w:tcPr>
          <w:p>
            <w:r>
              <w:rPr>
                <w:rFonts w:ascii="Calibri" w:hAnsi="Calibri"/>
                <w:sz w:val="22"/>
              </w:rPr>
              <w:t>AT&amp;T Q2 2026 (Jul 22)</w:t>
            </w:r>
          </w:p>
        </w:tc>
        <w:tc>
          <w:tcPr>
            <w:tcW w:type="dxa" w:w="2160"/>
          </w:tcPr>
          <w:p>
            <w:r>
              <w:rPr>
                <w:rFonts w:ascii="Calibri" w:hAnsi="Calibri"/>
                <w:sz w:val="22"/>
              </w:rPr>
              <w:t>Record fiber net adds (367K, +36.4% YoY); FWA net adds 279K (+16.3% YoY)</w:t>
            </w:r>
          </w:p>
        </w:tc>
        <w:tc>
          <w:tcPr>
            <w:tcW w:type="dxa" w:w="2160"/>
          </w:tcPr>
          <w:p>
            <w:r>
              <w:rPr>
                <w:rFonts w:ascii="Calibri" w:hAnsi="Calibri"/>
                <w:sz w:val="22"/>
              </w:rPr>
              <w:t>Robust broadband demand; supports TMUS FWA net add consensus of ~510K</w:t>
            </w:r>
          </w:p>
        </w:tc>
        <w:tc>
          <w:tcPr>
            <w:tcW w:type="dxa" w:w="2160"/>
          </w:tcPr>
          <w:p>
            <w:r>
              <w:rPr>
                <w:rFonts w:ascii="Calibri" w:hAnsi="Calibri"/>
                <w:b/>
                <w:color w:val="30A46C"/>
                <w:sz w:val="22"/>
              </w:rPr>
              <w:t>Positive</w:t>
            </w:r>
          </w:p>
        </w:tc>
      </w:tr>
      <w:tr>
        <w:tc>
          <w:tcPr>
            <w:tcW w:type="dxa" w:w="2160"/>
          </w:tcPr>
          <w:p>
            <w:r>
              <w:rPr>
                <w:rFonts w:ascii="Calibri" w:hAnsi="Calibri"/>
                <w:sz w:val="22"/>
              </w:rPr>
              <w:t>AT&amp;T Q2 2026 (Jul 22)</w:t>
            </w:r>
          </w:p>
        </w:tc>
        <w:tc>
          <w:tcPr>
            <w:tcW w:type="dxa" w:w="2160"/>
          </w:tcPr>
          <w:p>
            <w:r>
              <w:rPr>
                <w:rFonts w:ascii="Calibri" w:hAnsi="Calibri"/>
                <w:sz w:val="22"/>
              </w:rPr>
              <w:t>Postpaid phone churn 0.86% (-1bp YoY); industry churn “settling down”</w:t>
            </w:r>
          </w:p>
        </w:tc>
        <w:tc>
          <w:tcPr>
            <w:tcW w:type="dxa" w:w="2160"/>
          </w:tcPr>
          <w:p>
            <w:r>
              <w:rPr>
                <w:rFonts w:ascii="Calibri" w:hAnsi="Calibri"/>
                <w:sz w:val="22"/>
              </w:rPr>
              <w:t>Supports TMUS’s stable churn narrative; positive for net add quality</w:t>
            </w:r>
          </w:p>
        </w:tc>
        <w:tc>
          <w:tcPr>
            <w:tcW w:type="dxa" w:w="2160"/>
          </w:tcPr>
          <w:p>
            <w:r>
              <w:rPr>
                <w:rFonts w:ascii="Calibri" w:hAnsi="Calibri"/>
                <w:b/>
                <w:color w:val="30A46C"/>
                <w:sz w:val="22"/>
              </w:rPr>
              <w:t>Positive</w:t>
            </w:r>
          </w:p>
        </w:tc>
      </w:tr>
      <w:tr>
        <w:tc>
          <w:tcPr>
            <w:tcW w:type="dxa" w:w="2160"/>
          </w:tcPr>
          <w:p>
            <w:r>
              <w:rPr>
                <w:rFonts w:ascii="Calibri" w:hAnsi="Calibri"/>
                <w:sz w:val="22"/>
              </w:rPr>
              <w:t>AT&amp;T Q2 2026 (Jul 22)</w:t>
            </w:r>
          </w:p>
        </w:tc>
        <w:tc>
          <w:tcPr>
            <w:tcW w:type="dxa" w:w="2160"/>
          </w:tcPr>
          <w:p>
            <w:r>
              <w:rPr>
                <w:rFonts w:ascii="Calibri" w:hAnsi="Calibri"/>
                <w:sz w:val="22"/>
              </w:rPr>
              <w:t>Wireless service revenue +3.3% YoY; ARPU growing YoY alongside lower churn</w:t>
            </w:r>
          </w:p>
        </w:tc>
        <w:tc>
          <w:tcPr>
            <w:tcW w:type="dxa" w:w="2160"/>
          </w:tcPr>
          <w:p>
            <w:r>
              <w:rPr>
                <w:rFonts w:ascii="Calibri" w:hAnsi="Calibri"/>
                <w:sz w:val="22"/>
              </w:rPr>
              <w:t>Confirms industry ARPU expansion; supports TMUS H2 ARPA re-acceleration thesis</w:t>
            </w:r>
          </w:p>
        </w:tc>
        <w:tc>
          <w:tcPr>
            <w:tcW w:type="dxa" w:w="2160"/>
          </w:tcPr>
          <w:p>
            <w:r>
              <w:rPr>
                <w:rFonts w:ascii="Calibri" w:hAnsi="Calibri"/>
                <w:b/>
                <w:color w:val="30A46C"/>
                <w:sz w:val="22"/>
              </w:rPr>
              <w:t>Positive</w:t>
            </w:r>
          </w:p>
        </w:tc>
      </w:tr>
      <w:tr>
        <w:tc>
          <w:tcPr>
            <w:tcW w:type="dxa" w:w="2160"/>
          </w:tcPr>
          <w:p>
            <w:r>
              <w:rPr>
                <w:rFonts w:ascii="Calibri" w:hAnsi="Calibri"/>
                <w:sz w:val="22"/>
              </w:rPr>
              <w:t>AT&amp;T Q2 2026 (Jul 22)</w:t>
            </w:r>
          </w:p>
        </w:tc>
        <w:tc>
          <w:tcPr>
            <w:tcW w:type="dxa" w:w="2160"/>
          </w:tcPr>
          <w:p>
            <w:r>
              <w:rPr>
                <w:rFonts w:ascii="Calibri" w:hAnsi="Calibri"/>
                <w:sz w:val="22"/>
              </w:rPr>
              <w:t>Advanced Connectivity EBITDA +8% YoY; highest consolidated EBITDA margin since refocus</w:t>
            </w:r>
          </w:p>
        </w:tc>
        <w:tc>
          <w:tcPr>
            <w:tcW w:type="dxa" w:w="2160"/>
          </w:tcPr>
          <w:p>
            <w:r>
              <w:rPr>
                <w:rFonts w:ascii="Calibri" w:hAnsi="Calibri"/>
                <w:sz w:val="22"/>
              </w:rPr>
              <w:t>Industry EBITDA expansion intact; positive for TMUS’s own EBITDA beat potential</w:t>
            </w:r>
          </w:p>
        </w:tc>
        <w:tc>
          <w:tcPr>
            <w:tcW w:type="dxa" w:w="2160"/>
          </w:tcPr>
          <w:p>
            <w:r>
              <w:rPr>
                <w:rFonts w:ascii="Calibri" w:hAnsi="Calibri"/>
                <w:b/>
                <w:color w:val="30A46C"/>
                <w:sz w:val="22"/>
              </w:rPr>
              <w:t>Positive</w:t>
            </w:r>
          </w:p>
        </w:tc>
      </w:tr>
      <w:tr>
        <w:tc>
          <w:tcPr>
            <w:tcW w:type="dxa" w:w="2160"/>
          </w:tcPr>
          <w:p>
            <w:r>
              <w:rPr>
                <w:rFonts w:ascii="Calibri" w:hAnsi="Calibri"/>
                <w:sz w:val="22"/>
              </w:rPr>
              <w:t>AT&amp;T Q2 2026 (Jul 22)</w:t>
            </w:r>
          </w:p>
        </w:tc>
        <w:tc>
          <w:tcPr>
            <w:tcW w:type="dxa" w:w="2160"/>
          </w:tcPr>
          <w:p>
            <w:r>
              <w:rPr>
                <w:rFonts w:ascii="Calibri" w:hAnsi="Calibri"/>
                <w:sz w:val="22"/>
              </w:rPr>
              <w:t>AT&amp;T maintained full-year guidance; no upward revision despite strong Q2</w:t>
            </w:r>
          </w:p>
        </w:tc>
        <w:tc>
          <w:tcPr>
            <w:tcW w:type="dxa" w:w="2160"/>
          </w:tcPr>
          <w:p>
            <w:r>
              <w:rPr>
                <w:rFonts w:ascii="Calibri" w:hAnsi="Calibri"/>
                <w:sz w:val="22"/>
              </w:rPr>
              <w:t>Neutral — AT&amp;T’s conservative guidance posture mirrors TMUS’s own style; no negative signal</w:t>
            </w:r>
          </w:p>
        </w:tc>
        <w:tc>
          <w:tcPr>
            <w:tcW w:type="dxa" w:w="2160"/>
          </w:tcPr>
          <w:p>
            <w:r>
              <w:rPr>
                <w:rFonts w:ascii="Calibri" w:hAnsi="Calibri"/>
                <w:sz w:val="22"/>
              </w:rPr>
              <w:t>Neutral</w:t>
            </w:r>
          </w:p>
        </w:tc>
      </w:tr>
      <w:tr>
        <w:tc>
          <w:tcPr>
            <w:tcW w:type="dxa" w:w="2160"/>
          </w:tcPr>
          <w:p>
            <w:r>
              <w:rPr>
                <w:rFonts w:ascii="Calibri" w:hAnsi="Calibri"/>
                <w:sz w:val="22"/>
              </w:rPr>
              <w:t>AT&amp;T Q2 2026 (Jul 22)</w:t>
            </w:r>
          </w:p>
        </w:tc>
        <w:tc>
          <w:tcPr>
            <w:tcW w:type="dxa" w:w="2160"/>
          </w:tcPr>
          <w:p>
            <w:r>
              <w:rPr>
                <w:rFonts w:ascii="Calibri" w:hAnsi="Calibri"/>
                <w:sz w:val="22"/>
              </w:rPr>
              <w:t>AT&amp;T CEO: FWA “not optimal technology for fixed traffic over the long haul”</w:t>
            </w:r>
          </w:p>
        </w:tc>
        <w:tc>
          <w:tcPr>
            <w:tcW w:type="dxa" w:w="2160"/>
          </w:tcPr>
          <w:p>
            <w:r>
              <w:rPr>
                <w:rFonts w:ascii="Calibri" w:hAnsi="Calibri"/>
                <w:sz w:val="22"/>
              </w:rPr>
              <w:t>Reinforces TMUS’s differentiated FWA positioning; AT&amp;T not a serious FWA competitor</w:t>
            </w:r>
          </w:p>
        </w:tc>
        <w:tc>
          <w:tcPr>
            <w:tcW w:type="dxa" w:w="2160"/>
          </w:tcPr>
          <w:p>
            <w:r>
              <w:rPr>
                <w:rFonts w:ascii="Calibri" w:hAnsi="Calibri"/>
                <w:b/>
                <w:color w:val="30A46C"/>
                <w:sz w:val="22"/>
              </w:rPr>
              <w:t>Positive</w:t>
            </w:r>
          </w:p>
        </w:tc>
      </w:tr>
    </w:tbl>
    <w:p>
      <w:r>
        <w:rPr>
          <w:rFonts w:ascii="Calibri" w:hAnsi="Calibri"/>
          <w:b/>
          <w:color w:val="525866"/>
          <w:sz w:val="22"/>
        </w:rPr>
        <w:t xml:space="preserve">Overall Peer Read-Through Assessment: </w:t>
      </w:r>
      <w:r>
        <w:rPr>
          <w:rFonts w:ascii="Calibri" w:hAnsi="Calibri"/>
          <w:color w:val="525866"/>
          <w:sz w:val="22"/>
        </w:rPr>
        <w:t>AT&amp;T’s Q2 2026 results — reported the day before TMUS earnings — are unambiguously positive for the TMUS setup. The combination of strong postpaid phone net adds, record broadband additions, improving churn, and growing ARPU confirms that the wireless demand environment in Q2 2026 was healthy and that pricing discipline is holding across the industry. AT&amp;T’s explicit commentary that industry churn is “settling down” after accelerating in 2025 is directly supportive of TMUS’s account churn narrative. The one nuance is that AT&amp;T’s convergence-led strategy is gaining traction, which could create incremental competitive pressure in markets where AT&amp;T has fiber coverage — but this is a known dynamic and not a new Q2 development. On balance, the peer read-through raises the probability of a TMUS beat on postpaid account net adds and supports the ARPA re-acceleration narrative for H2 2026.</w:t>
      </w:r>
    </w:p>
    <w:p>
      <w:r>
        <w:rPr>
          <w:rFonts w:ascii="Calibri" w:hAnsi="Calibri"/>
          <w:i/>
          <w:color w:val="525866"/>
          <w:sz w:val="22"/>
        </w:rPr>
        <w:t>Source: AT&amp;T Q2 2026 Earnings Release and Earnings Call Transcript (July 22, 2026).</w:t>
      </w:r>
    </w:p>
    <w:p>
      <w:r>
        <w:br w:type="page"/>
      </w:r>
    </w:p>
    <w:p>
      <w:pPr>
        <w:pStyle w:val="Heading2"/>
      </w:pPr>
      <w:r>
        <w:rPr>
          <w:rFonts w:ascii="Calibri" w:hAnsi="Calibri"/>
          <w:b/>
          <w:color w:val="3B4259"/>
          <w:sz w:val="28"/>
        </w:rPr>
        <w:t>Appendix: Key Definitions &amp; Abbreviations</w:t>
      </w:r>
    </w:p>
    <w:p>
      <w:pPr>
        <w:pStyle w:val="ListBullet"/>
        <w:ind w:left="360" w:hanging="360"/>
      </w:pPr>
      <w:r>
        <w:rPr>
          <w:rFonts w:ascii="Calibri" w:hAnsi="Calibri"/>
          <w:b/>
          <w:color w:val="525866"/>
          <w:sz w:val="22"/>
        </w:rPr>
        <w:t>Core Adjusted EBITDA:</w:t>
      </w:r>
      <w:r>
        <w:rPr>
          <w:rFonts w:ascii="Calibri" w:hAnsi="Calibri"/>
          <w:color w:val="525866"/>
          <w:sz w:val="22"/>
        </w:rPr>
        <w:t xml:space="preserve"> Adjusted EBITDA less lease revenues; T-Mobile’s primary profitability metric and the basis for management guidance.</w:t>
      </w:r>
    </w:p>
    <w:p>
      <w:pPr>
        <w:pStyle w:val="ListBullet"/>
        <w:ind w:left="360" w:hanging="360"/>
      </w:pPr>
      <w:r>
        <w:rPr>
          <w:rFonts w:ascii="Calibri" w:hAnsi="Calibri"/>
          <w:b/>
          <w:color w:val="525866"/>
          <w:sz w:val="22"/>
        </w:rPr>
        <w:t>Postpaid ARPA:</w:t>
      </w:r>
      <w:r>
        <w:rPr>
          <w:rFonts w:ascii="Calibri" w:hAnsi="Calibri"/>
          <w:color w:val="525866"/>
          <w:sz w:val="22"/>
        </w:rPr>
        <w:t xml:space="preserve"> Average Revenue Per Account (postpaid); measures revenue per customer relationship rather than per line, reflecting T-Mobile’s account-centric strategy.</w:t>
      </w:r>
    </w:p>
    <w:p>
      <w:pPr>
        <w:pStyle w:val="ListBullet"/>
        <w:ind w:left="360" w:hanging="360"/>
      </w:pPr>
      <w:r>
        <w:rPr>
          <w:rFonts w:ascii="Calibri" w:hAnsi="Calibri"/>
          <w:b/>
          <w:color w:val="525866"/>
          <w:sz w:val="22"/>
        </w:rPr>
        <w:t>Postpaid Account Net Adds:</w:t>
      </w:r>
      <w:r>
        <w:rPr>
          <w:rFonts w:ascii="Calibri" w:hAnsi="Calibri"/>
          <w:color w:val="525866"/>
          <w:sz w:val="22"/>
        </w:rPr>
        <w:t xml:space="preserve"> Net new postpaid accounts (not lines); includes wireless, FWA, and fiber accounts. T-Mobile’s primary subscriber growth metric.</w:t>
      </w:r>
    </w:p>
    <w:p>
      <w:pPr>
        <w:pStyle w:val="ListBullet"/>
        <w:ind w:left="360" w:hanging="360"/>
      </w:pPr>
      <w:r>
        <w:rPr>
          <w:rFonts w:ascii="Calibri" w:hAnsi="Calibri"/>
          <w:b/>
          <w:color w:val="525866"/>
          <w:sz w:val="22"/>
        </w:rPr>
        <w:t>FWA:</w:t>
      </w:r>
      <w:r>
        <w:rPr>
          <w:rFonts w:ascii="Calibri" w:hAnsi="Calibri"/>
          <w:color w:val="525866"/>
          <w:sz w:val="22"/>
        </w:rPr>
        <w:t xml:space="preserve"> Fixed Wireless Access; T-Mobile’s home broadband product delivered over the 5G network.</w:t>
      </w:r>
    </w:p>
    <w:p>
      <w:pPr>
        <w:pStyle w:val="ListBullet"/>
        <w:ind w:left="360" w:hanging="360"/>
      </w:pPr>
      <w:r>
        <w:rPr>
          <w:rFonts w:ascii="Calibri" w:hAnsi="Calibri"/>
          <w:b/>
          <w:color w:val="525866"/>
          <w:sz w:val="22"/>
        </w:rPr>
        <w:t>Adjusted FCF:</w:t>
      </w:r>
      <w:r>
        <w:rPr>
          <w:rFonts w:ascii="Calibri" w:hAnsi="Calibri"/>
          <w:color w:val="525866"/>
          <w:sz w:val="22"/>
        </w:rPr>
        <w:t xml:space="preserve"> Free cash flow adjusted for merger-related costs and other items; T-Mobile’s primary cash flow metric for capital allocation purposes.</w:t>
      </w:r>
    </w:p>
    <w:p>
      <w:pPr>
        <w:pStyle w:val="ListBullet"/>
        <w:ind w:left="360" w:hanging="360"/>
      </w:pPr>
      <w:r>
        <w:rPr>
          <w:rFonts w:ascii="Calibri" w:hAnsi="Calibri"/>
          <w:b/>
          <w:color w:val="525866"/>
          <w:sz w:val="22"/>
        </w:rPr>
        <w:t>XLC:</w:t>
      </w:r>
      <w:r>
        <w:rPr>
          <w:rFonts w:ascii="Calibri" w:hAnsi="Calibri"/>
          <w:color w:val="525866"/>
          <w:sz w:val="22"/>
        </w:rPr>
        <w:t xml:space="preserve"> Communication Services Select Sector SPDR ETF; used as the sector benchmark for TMUS stock performance comparison.</w:t>
      </w:r>
    </w:p>
    <w:p>
      <w:pPr>
        <w:pStyle w:val="ListBullet"/>
        <w:ind w:left="360" w:hanging="360"/>
      </w:pPr>
      <w:r>
        <w:rPr>
          <w:rFonts w:ascii="Calibri" w:hAnsi="Calibri"/>
          <w:b/>
          <w:color w:val="525866"/>
          <w:sz w:val="22"/>
        </w:rPr>
        <w:t>NTM:</w:t>
      </w:r>
      <w:r>
        <w:rPr>
          <w:rFonts w:ascii="Calibri" w:hAnsi="Calibri"/>
          <w:color w:val="525866"/>
          <w:sz w:val="22"/>
        </w:rPr>
        <w:t xml:space="preserve"> Next Twelve Months; used for forward-looking valuation multiples.</w:t>
      </w:r>
    </w:p>
    <w:p>
      <w:pPr>
        <w:pStyle w:val="ListBullet"/>
        <w:ind w:left="360" w:hanging="360"/>
      </w:pPr>
      <w:r>
        <w:rPr>
          <w:rFonts w:ascii="Calibri" w:hAnsi="Calibri"/>
          <w:b/>
          <w:color w:val="525866"/>
          <w:sz w:val="22"/>
        </w:rPr>
        <w:t>CLV:</w:t>
      </w:r>
      <w:r>
        <w:rPr>
          <w:rFonts w:ascii="Calibri" w:hAnsi="Calibri"/>
          <w:color w:val="525866"/>
          <w:sz w:val="22"/>
        </w:rPr>
        <w:t xml:space="preserve"> Customer Lifetime Value; T-Mobile’s internal metric for assessing the quality of subscriber additions.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