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TSCO (Tractor Supply Company) before writing the preview. Let me gather recent filings, transcripts, and news.This is Tractor Supply Company. Let me read the latest earnings materials and get more context.Let me get the stock price trend, recent conference appearances, and the year-ago Q2 comparison to frame the setup.The stock has fallen dramatically — from ~</w:t>
      </w:r>
      <m:oMath>
        <m:r>
          <m:t>59</m:t>
        </m:r>
        <m:r>
          <m:t>i</m:t>
        </m:r>
        <m:r>
          <m:t>n</m:t>
        </m:r>
        <m:r>
          <m:t>J</m:t>
        </m:r>
        <m:r>
          <m:t>u</m:t>
        </m:r>
        <m:r>
          <m:t>l</m:t>
        </m:r>
        <m:r>
          <m:t>y</m:t>
        </m:r>
        <m:r>
          <m:t>2025</m:t>
        </m:r>
        <m:r>
          <m:t>t</m:t>
        </m:r>
        <m:r>
          <m:t>o</m:t>
        </m:r>
        <m:r>
          <m:t> </m:t>
        </m:r>
      </m:oMath>
      <w:r>
        <w:t xml:space="preserve">29 now, with a sharp drop after the Q1 report. Let me read the recent Baird conference transcript, the year-ago Q2 release, and check recent analyst activity/news.Let me compute a few key figures to anchor the preview.Let me quickly grab full-year FY2025 results for context on the 2026 guide, and check for recent analyst actions.# Tractor Supply Company (NASDAQ: TSCO) — Q2 FY2026 Earnings Preview</w:t>
      </w:r>
    </w:p>
    <w:p>
      <w:pPr>
        <w:pStyle w:val="BodyText"/>
      </w:pPr>
      <w:r>
        <w:rPr>
          <w:b/>
          <w:bCs/>
        </w:rPr>
        <w:t xml:space="preserve">Report date:</w:t>
      </w:r>
      <w:r>
        <w:t xml:space="preserve"> </w:t>
      </w:r>
      <w:r>
        <w:t xml:space="preserve">Thursday, July 23, 2026 (before open); conference call 10:00 a.m. ET</w:t>
      </w:r>
      <w:r>
        <w:t xml:space="preserve"> </w:t>
      </w:r>
      <w:r>
        <w:rPr>
          <w:b/>
          <w:bCs/>
        </w:rPr>
        <w:t xml:space="preserve">Recent price:</w:t>
      </w:r>
      <w:r>
        <w:t xml:space="preserve"> </w:t>
      </w:r>
      <w:r>
        <w:t xml:space="preserve">~</w:t>
      </w:r>
      <m:oMath>
        <m:r>
          <m:t>29.38</m:t>
        </m:r>
        <m:r>
          <m:rPr>
            <m:sty m:val="p"/>
          </m:rPr>
          <m:t>(</m:t>
        </m:r>
        <m:r>
          <m:t>7</m:t>
        </m:r>
        <m:r>
          <m:rPr>
            <m:sty m:val="p"/>
          </m:rPr>
          <m:t>/</m:t>
        </m:r>
        <m:r>
          <m:t>22</m:t>
        </m:r>
        <m:r>
          <m:rPr>
            <m:sty m:val="p"/>
          </m:rPr>
          <m:t>/</m:t>
        </m:r>
        <m:r>
          <m:t>26</m:t>
        </m:r>
        <m:r>
          <m:rPr>
            <m:sty m:val="p"/>
          </m:rPr>
          <m:t>)</m:t>
        </m:r>
        <m:r>
          <m:rPr>
            <m:sty m:val="p"/>
          </m:rPr>
          <m:t>|</m:t>
        </m:r>
        <m:r>
          <m:rPr>
            <m:sty m:val="p"/>
          </m:rPr>
          <m:t>*</m:t>
        </m:r>
        <m:r>
          <m:rPr>
            <m:sty m:val="p"/>
          </m:rPr>
          <m:t>*</m:t>
        </m:r>
        <m:r>
          <m:t>P</m:t>
        </m:r>
        <m:r>
          <m:t>r</m:t>
        </m:r>
        <m:r>
          <m:t>i</m:t>
        </m:r>
        <m:r>
          <m:t>o</m:t>
        </m:r>
        <m:r>
          <m:t>r</m:t>
        </m:r>
        <m:r>
          <m:rPr>
            <m:sty m:val="p"/>
          </m:rPr>
          <m:t>−</m:t>
        </m:r>
        <m:r>
          <m:t>y</m:t>
        </m:r>
        <m:r>
          <m:t>e</m:t>
        </m:r>
        <m:r>
          <m:t>a</m:t>
        </m:r>
        <m:r>
          <m:t>r</m:t>
        </m:r>
        <m:r>
          <m:t>Q</m:t>
        </m:r>
        <m:r>
          <m:t>2</m:t>
        </m:r>
        <m:r>
          <m:t>p</m:t>
        </m:r>
        <m:r>
          <m:t>r</m:t>
        </m:r>
        <m:r>
          <m:t>i</m:t>
        </m:r>
        <m:r>
          <m:t>n</m:t>
        </m:r>
        <m:r>
          <m:t>t</m:t>
        </m:r>
        <m:r>
          <m:rPr>
            <m:sty m:val="p"/>
          </m:rPr>
          <m:t>:</m:t>
        </m:r>
        <m:r>
          <m:rPr>
            <m:sty m:val="p"/>
          </m:rPr>
          <m:t>*</m:t>
        </m:r>
        <m:r>
          <m:rPr>
            <m:sty m:val="p"/>
          </m:rPr>
          <m:t>*</m:t>
        </m:r>
        <m:r>
          <m:t> </m:t>
        </m:r>
      </m:oMath>
      <w:r>
        <w:t xml:space="preserve">59 area</w:t>
      </w:r>
    </w:p>
    <w:p>
      <w:r>
        <w:pict>
          <v:rect style="width:0;height:1.5pt" o:hralign="center" o:hrstd="t" o:hr="t"/>
        </w:pict>
      </w:r>
    </w:p>
    <w:bookmarkStart w:id="9" w:name="X9c3851226ba74948a4821eb9b14a18a901af36c"/>
    <w:p>
      <w:pPr>
        <w:pStyle w:val="Heading2"/>
      </w:pPr>
      <w:r>
        <w:t xml:space="preserve">1. The one thing to understand going in: this is a "show-me" quarter after a brutal de-rating</w:t>
      </w:r>
    </w:p>
    <w:p>
      <w:pPr>
        <w:pStyle w:val="FirstParagraph"/>
      </w:pPr>
      <w:r>
        <w:t xml:space="preserve">TSCO is not the steady compounder it was 18 months ago. The stock has roughly</w:t>
      </w:r>
      <w:r>
        <w:t xml:space="preserve"> </w:t>
      </w:r>
      <w:r>
        <w:rPr>
          <w:b/>
          <w:bCs/>
        </w:rPr>
        <w:t xml:space="preserve">halved</w:t>
      </w:r>
      <w:r>
        <w:t xml:space="preserve"> </w:t>
      </w:r>
      <w:r>
        <w:t xml:space="preserve">over the past year — down ~53% from its late-August 2025 high (~$62.65), down ~41% year-to-date in 2026, and down ~34% just since the April 21 Q1 report. On a business that historically traded at a premium multiple for consistency, this is an extraordinary repricing.</w:t>
      </w:r>
    </w:p>
    <w:p>
      <w:pPr>
        <w:pStyle w:val="BodyText"/>
      </w:pPr>
      <w:r>
        <w:t xml:space="preserve">The market is effectively pricing in</w:t>
      </w:r>
      <w:r>
        <w:t xml:space="preserve"> </w:t>
      </w:r>
      <w:r>
        <w:rPr>
          <w:b/>
          <w:bCs/>
        </w:rPr>
        <w:t xml:space="preserve">a full-year guidance cut and a structurally slower growth algorithm</w:t>
      </w:r>
      <w:r>
        <w:t xml:space="preserve">. Management has so far refused to give either. That tension — reaffirmed guidance vs. a stock that doesn't believe it — is the entire setup for Wednesday's print. The key question is not "did they beat the quarter?" but</w:t>
      </w:r>
      <w:r>
        <w:t xml:space="preserve"> </w:t>
      </w:r>
      <w:r>
        <w:rPr>
          <w:b/>
          <w:bCs/>
        </w:rPr>
        <w:t xml:space="preserve">"do they hold the full-year outlook, and does the comp actually inflect?"</w:t>
      </w:r>
    </w:p>
    <w:p>
      <w:r>
        <w:pict>
          <v:rect style="width:0;height:1.5pt" o:hralign="center" o:hrstd="t" o:hr="t"/>
        </w:pict>
      </w:r>
    </w:p>
    <w:bookmarkEnd w:id="9"/>
    <w:bookmarkStart w:id="10" w:name="X997bbb06021e0d34e46536c8bcaed0562cabe67"/>
    <w:p>
      <w:pPr>
        <w:pStyle w:val="Heading2"/>
      </w:pPr>
      <w:r>
        <w:t xml:space="preserve">2. Where we stand: the recent trajectory has steadily deteriorated</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Period</w:t>
            </w:r>
          </w:p>
        </w:tc>
        <w:tc>
          <w:tcPr/>
          <w:p>
            <w:pPr>
              <w:pStyle w:val="Compact"/>
            </w:pPr>
            <w:r>
              <w:t xml:space="preserve">Net sales</w:t>
            </w:r>
          </w:p>
        </w:tc>
        <w:tc>
          <w:tcPr/>
          <w:p>
            <w:pPr>
              <w:pStyle w:val="Compact"/>
            </w:pPr>
            <w:r>
              <w:t xml:space="preserve">Comp</w:t>
            </w:r>
          </w:p>
        </w:tc>
        <w:tc>
          <w:tcPr/>
          <w:p>
            <w:pPr>
              <w:pStyle w:val="Compact"/>
            </w:pPr>
            <w:r>
              <w:t xml:space="preserve">Gross margin</w:t>
            </w:r>
          </w:p>
        </w:tc>
        <w:tc>
          <w:tcPr/>
          <w:p>
            <w:pPr>
              <w:pStyle w:val="Compact"/>
            </w:pPr>
            <w:r>
              <w:t xml:space="preserve">SG&amp;A % (incl. D&amp;A)</w:t>
            </w:r>
          </w:p>
        </w:tc>
        <w:tc>
          <w:tcPr/>
          <w:p>
            <w:pPr>
              <w:pStyle w:val="Compact"/>
            </w:pPr>
            <w:r>
              <w:t xml:space="preserve">Op. margin</w:t>
            </w:r>
          </w:p>
        </w:tc>
        <w:tc>
          <w:tcPr/>
          <w:p>
            <w:pPr>
              <w:pStyle w:val="Compact"/>
            </w:pPr>
            <w:r>
              <w:t xml:space="preserve">Diluted EPS</w:t>
            </w:r>
          </w:p>
        </w:tc>
      </w:tr>
      <w:tr>
        <w:tc>
          <w:tcPr/>
          <w:p>
            <w:pPr>
              <w:pStyle w:val="Compact"/>
            </w:pPr>
            <w:r>
              <w:t xml:space="preserve">Q2 FY25 (compare)</w:t>
            </w:r>
          </w:p>
        </w:tc>
        <w:tc>
          <w:tcPr/>
          <w:p>
            <w:pPr>
              <w:pStyle w:val="Compact"/>
            </w:pPr>
            <w:r>
              <w:t xml:space="preserve">$4.44B (+4.5%)</w:t>
            </w:r>
          </w:p>
        </w:tc>
        <w:tc>
          <w:tcPr/>
          <w:p>
            <w:pPr>
              <w:pStyle w:val="Compact"/>
            </w:pPr>
            <w:r>
              <w:rPr>
                <w:b/>
                <w:bCs/>
              </w:rPr>
              <w:t xml:space="preserve">+1.5%</w:t>
            </w:r>
          </w:p>
        </w:tc>
        <w:tc>
          <w:tcPr/>
          <w:p>
            <w:pPr>
              <w:pStyle w:val="Compact"/>
            </w:pPr>
            <w:r>
              <w:t xml:space="preserve">36.9%</w:t>
            </w:r>
          </w:p>
        </w:tc>
        <w:tc>
          <w:tcPr/>
          <w:p>
            <w:pPr>
              <w:pStyle w:val="Compact"/>
            </w:pPr>
            <w:r>
              <w:t xml:space="preserve">23.9%</w:t>
            </w:r>
          </w:p>
        </w:tc>
        <w:tc>
          <w:tcPr/>
          <w:p>
            <w:pPr>
              <w:pStyle w:val="Compact"/>
            </w:pPr>
            <w:r>
              <w:t xml:space="preserve">13.0%</w:t>
            </w:r>
          </w:p>
        </w:tc>
        <w:tc>
          <w:tcPr/>
          <w:p>
            <w:pPr>
              <w:pStyle w:val="Compact"/>
            </w:pPr>
            <w:r>
              <w:rPr>
                <w:b/>
                <w:bCs/>
              </w:rPr>
              <w:t xml:space="preserve">$0.81</w:t>
            </w:r>
          </w:p>
        </w:tc>
      </w:tr>
      <w:tr>
        <w:tc>
          <w:tcPr/>
          <w:p>
            <w:pPr>
              <w:pStyle w:val="Compact"/>
            </w:pPr>
            <w:r>
              <w:t xml:space="preserve">Q3 FY25 (implied)</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~$0.48</w:t>
            </w:r>
          </w:p>
        </w:tc>
      </w:tr>
      <w:tr>
        <w:tc>
          <w:tcPr/>
          <w:p>
            <w:pPr>
              <w:pStyle w:val="Compact"/>
            </w:pPr>
            <w:r>
              <w:t xml:space="preserve">Q4 FY25</w:t>
            </w:r>
          </w:p>
        </w:tc>
        <w:tc>
          <w:tcPr/>
          <w:p>
            <w:pPr>
              <w:pStyle w:val="Compact"/>
            </w:pPr>
            <w:r>
              <w:t xml:space="preserve">$3.90B (+3.3%)</w:t>
            </w:r>
          </w:p>
        </w:tc>
        <w:tc>
          <w:tcPr/>
          <w:p>
            <w:pPr>
              <w:pStyle w:val="Compact"/>
            </w:pPr>
            <w:r>
              <w:t xml:space="preserve">+0.3%</w:t>
            </w:r>
          </w:p>
        </w:tc>
        <w:tc>
          <w:tcPr/>
          <w:p>
            <w:pPr>
              <w:pStyle w:val="Compact"/>
            </w:pPr>
            <w:r>
              <w:t xml:space="preserve">35.1%</w:t>
            </w:r>
          </w:p>
        </w:tc>
        <w:tc>
          <w:tcPr/>
          <w:p>
            <w:pPr>
              <w:pStyle w:val="Compact"/>
            </w:pPr>
            <w:r>
              <w:t xml:space="preserve">27.5%</w:t>
            </w:r>
          </w:p>
        </w:tc>
        <w:tc>
          <w:tcPr/>
          <w:p>
            <w:pPr>
              <w:pStyle w:val="Compact"/>
            </w:pPr>
            <w:r>
              <w:t xml:space="preserve">7.6%</w:t>
            </w:r>
          </w:p>
        </w:tc>
        <w:tc>
          <w:tcPr/>
          <w:p>
            <w:pPr>
              <w:pStyle w:val="Compact"/>
            </w:pPr>
            <w:r>
              <w:t xml:space="preserve">$0.43 (‑2.7%)</w:t>
            </w:r>
          </w:p>
        </w:tc>
      </w:tr>
      <w:tr>
        <w:tc>
          <w:tcPr/>
          <w:p>
            <w:pPr>
              <w:pStyle w:val="Compact"/>
            </w:pPr>
            <w:r>
              <w:rPr>
                <w:b/>
                <w:bCs/>
              </w:rPr>
              <w:t xml:space="preserve">FY25 full year</w:t>
            </w:r>
          </w:p>
        </w:tc>
        <w:tc>
          <w:tcPr/>
          <w:p>
            <w:pPr>
              <w:pStyle w:val="Compact"/>
            </w:pPr>
            <w:r>
              <w:rPr>
                <w:b/>
                <w:bCs/>
              </w:rPr>
              <w:t xml:space="preserve">$15.52B (+4.3%)</w:t>
            </w:r>
          </w:p>
        </w:tc>
        <w:tc>
          <w:tcPr/>
          <w:p>
            <w:pPr>
              <w:pStyle w:val="Compact"/>
            </w:pPr>
            <w:r>
              <w:rPr>
                <w:b/>
                <w:bCs/>
              </w:rPr>
              <w:t xml:space="preserve">+1.2%</w:t>
            </w:r>
          </w:p>
        </w:tc>
        <w:tc>
          <w:tcPr/>
          <w:p>
            <w:pPr>
              <w:pStyle w:val="Compact"/>
            </w:pPr>
            <w:r>
              <w:t xml:space="preserve">36.4%</w:t>
            </w:r>
          </w:p>
        </w:tc>
        <w:tc>
          <w:tcPr/>
          <w:p>
            <w:pPr>
              <w:pStyle w:val="Compact"/>
            </w:pPr>
            <w:r>
              <w:t xml:space="preserve">27.0%</w:t>
            </w:r>
          </w:p>
        </w:tc>
        <w:tc>
          <w:tcPr/>
          <w:p>
            <w:pPr>
              <w:pStyle w:val="Compact"/>
            </w:pPr>
            <w:r>
              <w:t xml:space="preserve">9.45%</w:t>
            </w:r>
          </w:p>
        </w:tc>
        <w:tc>
          <w:tcPr/>
          <w:p>
            <w:pPr>
              <w:pStyle w:val="Compact"/>
            </w:pPr>
            <w:r>
              <w:rPr>
                <w:b/>
                <w:bCs/>
              </w:rPr>
              <w:t xml:space="preserve">$2.06 (+0.9%)</w:t>
            </w:r>
          </w:p>
        </w:tc>
      </w:tr>
      <w:tr>
        <w:tc>
          <w:tcPr/>
          <w:p>
            <w:pPr>
              <w:pStyle w:val="Compact"/>
            </w:pPr>
            <w:r>
              <w:t xml:space="preserve">Q1 FY26</w:t>
            </w:r>
          </w:p>
        </w:tc>
        <w:tc>
          <w:tcPr/>
          <w:p>
            <w:pPr>
              <w:pStyle w:val="Compact"/>
            </w:pPr>
            <w:r>
              <w:t xml:space="preserve">$3.59B (+3.6%)</w:t>
            </w:r>
          </w:p>
        </w:tc>
        <w:tc>
          <w:tcPr/>
          <w:p>
            <w:pPr>
              <w:pStyle w:val="Compact"/>
            </w:pPr>
            <w:r>
              <w:t xml:space="preserve">+0.5%</w:t>
            </w:r>
          </w:p>
        </w:tc>
        <w:tc>
          <w:tcPr/>
          <w:p>
            <w:pPr>
              <w:pStyle w:val="Compact"/>
            </w:pPr>
            <w:r>
              <w:t xml:space="preserve">36.2%</w:t>
            </w:r>
          </w:p>
        </w:tc>
        <w:tc>
          <w:tcPr/>
          <w:p>
            <w:pPr>
              <w:pStyle w:val="Compact"/>
            </w:pPr>
            <w:r>
              <w:t xml:space="preserve">29.7%</w:t>
            </w:r>
          </w:p>
        </w:tc>
        <w:tc>
          <w:tcPr/>
          <w:p>
            <w:pPr>
              <w:pStyle w:val="Compact"/>
            </w:pPr>
            <w:r>
              <w:t xml:space="preserve">6.5%</w:t>
            </w:r>
          </w:p>
        </w:tc>
        <w:tc>
          <w:tcPr/>
          <w:p>
            <w:pPr>
              <w:pStyle w:val="Compact"/>
            </w:pPr>
            <w:r>
              <w:t xml:space="preserve">$0.31 (‑7.2%)</w:t>
            </w:r>
          </w:p>
        </w:tc>
      </w:tr>
    </w:tbl>
    <w:p>
      <w:pPr>
        <w:pStyle w:val="BodyText"/>
      </w:pPr>
      <w:r>
        <w:t xml:space="preserve">The pattern is clear:</w:t>
      </w:r>
      <w:r>
        <w:t xml:space="preserve"> </w:t>
      </w:r>
      <w:r>
        <w:rPr>
          <w:b/>
          <w:bCs/>
        </w:rPr>
        <w:t xml:space="preserve">comps have decelerated to barely positive, and EPS has been declining year-over-year for three straight quarters</w:t>
      </w:r>
      <w:r>
        <w:t xml:space="preserve"> </w:t>
      </w:r>
      <w:r>
        <w:t xml:space="preserve">even as sales grow (driven almost entirely by new stores, not comps). Q1 FY26 was a miss — Street looked for ~$0.34 and a +1.6% comp; TSCO delivered $0.31 and +0.5%, with companion animal alone a ~100 bp drag. The stock fell ~11–12% on the print and kept sliding.</w:t>
      </w:r>
    </w:p>
    <w:p>
      <w:r>
        <w:pict>
          <v:rect style="width:0;height:1.5pt" o:hralign="center" o:hrstd="t" o:hr="t"/>
        </w:pict>
      </w:r>
    </w:p>
    <w:bookmarkEnd w:id="10"/>
    <w:bookmarkStart w:id="11" w:name="X21029e77b1d147f2916106c6eaf71e769ee0e81"/>
    <w:p>
      <w:pPr>
        <w:pStyle w:val="Heading2"/>
      </w:pPr>
      <w:r>
        <w:t xml:space="preserve">3. FY2026 guidance and the math that matters most</w:t>
      </w:r>
    </w:p>
    <w:p>
      <w:pPr>
        <w:pStyle w:val="FirstParagraph"/>
      </w:pPr>
      <w:r>
        <w:t xml:space="preserve">At Q4 (Jan 29) and again at Q1 (Apr 21), TSCO reaffirmed FY26 guidance:</w:t>
      </w:r>
    </w:p>
    <w:p>
      <w:pPr>
        <w:pStyle w:val="Compact"/>
        <w:numPr>
          <w:ilvl w:val="0"/>
          <w:numId w:val="1001"/>
        </w:numPr>
      </w:pPr>
      <w:r>
        <w:rPr>
          <w:b/>
          <w:bCs/>
        </w:rPr>
        <w:t xml:space="preserve">Net sales:</w:t>
      </w:r>
      <w:r>
        <w:t xml:space="preserve"> </w:t>
      </w:r>
      <w:r>
        <w:t xml:space="preserve">+4% to +6%</w:t>
      </w:r>
    </w:p>
    <w:p>
      <w:pPr>
        <w:pStyle w:val="Compact"/>
        <w:numPr>
          <w:ilvl w:val="0"/>
          <w:numId w:val="1001"/>
        </w:numPr>
      </w:pPr>
      <w:r>
        <w:rPr>
          <w:b/>
          <w:bCs/>
        </w:rPr>
        <w:t xml:space="preserve">Comp store sales:</w:t>
      </w:r>
      <w:r>
        <w:t xml:space="preserve"> </w:t>
      </w:r>
      <w:r>
        <w:t xml:space="preserve">+1% to +3% (and management says +1% to +3% for</w:t>
      </w:r>
      <w:r>
        <w:t xml:space="preserve"> </w:t>
      </w:r>
      <w:r>
        <w:rPr>
          <w:i/>
          <w:iCs/>
        </w:rPr>
        <w:t xml:space="preserve">each</w:t>
      </w:r>
      <w:r>
        <w:t xml:space="preserve"> </w:t>
      </w:r>
      <w:r>
        <w:t xml:space="preserve">remaining quarter)</w:t>
      </w:r>
    </w:p>
    <w:p>
      <w:pPr>
        <w:pStyle w:val="Compact"/>
        <w:numPr>
          <w:ilvl w:val="0"/>
          <w:numId w:val="1001"/>
        </w:numPr>
      </w:pPr>
      <w:r>
        <w:rPr>
          <w:b/>
          <w:bCs/>
        </w:rPr>
        <w:t xml:space="preserve">Operating margin:</w:t>
      </w:r>
      <w:r>
        <w:t xml:space="preserve"> </w:t>
      </w:r>
      <w:r>
        <w:t xml:space="preserve">9.3% to 9.6%</w:t>
      </w:r>
    </w:p>
    <w:p>
      <w:pPr>
        <w:pStyle w:val="Compact"/>
        <w:numPr>
          <w:ilvl w:val="0"/>
          <w:numId w:val="1001"/>
        </w:numPr>
      </w:pPr>
      <w:r>
        <w:rPr>
          <w:b/>
          <w:bCs/>
        </w:rPr>
        <w:t xml:space="preserve">EPS:</w:t>
      </w:r>
      <w:r>
        <w:t xml:space="preserve"> </w:t>
      </w:r>
      <w:r>
        <w:rPr>
          <w:b/>
          <w:bCs/>
        </w:rPr>
        <w:t xml:space="preserve">$2.13 to $2.23</w:t>
      </w:r>
      <w:r>
        <w:t xml:space="preserve"> </w:t>
      </w:r>
      <w:r>
        <w:t xml:space="preserve">(implies +3.4% to +8.3% growth over FY25's $2.06)</w:t>
      </w:r>
    </w:p>
    <w:p>
      <w:pPr>
        <w:pStyle w:val="Compact"/>
        <w:numPr>
          <w:ilvl w:val="0"/>
          <w:numId w:val="1001"/>
        </w:numPr>
      </w:pPr>
      <w:r>
        <w:rPr>
          <w:b/>
          <w:bCs/>
        </w:rPr>
        <w:t xml:space="preserve">Buyback:</w:t>
      </w:r>
      <w:r>
        <w:t xml:space="preserve"> </w:t>
      </w:r>
      <w:r>
        <w:t xml:space="preserve">$375–450M; capex (net of sale-leaseback) $675–725M; ~100 new stores</w:t>
      </w:r>
    </w:p>
    <w:p>
      <w:pPr>
        <w:pStyle w:val="FirstParagraph"/>
      </w:pPr>
      <w:r>
        <w:rPr>
          <w:b/>
          <w:bCs/>
        </w:rPr>
        <w:t xml:space="preserve">The critical tension:</w:t>
      </w:r>
      <w:r>
        <w:t xml:space="preserve"> </w:t>
      </w:r>
      <w:r>
        <w:t xml:space="preserve">with Q1 EPS at</w:t>
      </w:r>
      <w:r>
        <w:t xml:space="preserve"> </w:t>
      </w:r>
      <m:oMath>
        <m:r>
          <m:t>0.31</m:t>
        </m:r>
        <m:r>
          <m:rPr>
            <m:sty m:val="p"/>
          </m:rPr>
          <m:t>(</m:t>
        </m:r>
        <m:r>
          <m:t>d</m:t>
        </m:r>
        <m:r>
          <m:t>o</m:t>
        </m:r>
        <m:r>
          <m:t>w</m:t>
        </m:r>
        <m:r>
          <m:t>n</m:t>
        </m:r>
        <m:r>
          <m:t>y</m:t>
        </m:r>
        <m:r>
          <m:rPr>
            <m:sty m:val="p"/>
          </m:rPr>
          <m:t>/</m:t>
        </m:r>
        <m:r>
          <m:t>y</m:t>
        </m:r>
        <m:r>
          <m:rPr>
            <m:sty m:val="p"/>
          </m:rPr>
          <m:t>)</m:t>
        </m:r>
        <m:r>
          <m:rPr>
            <m:sty m:val="p"/>
          </m:rPr>
          <m:t>,</m:t>
        </m:r>
        <m:r>
          <m:t>t</m:t>
        </m:r>
        <m:r>
          <m:t>h</m:t>
        </m:r>
        <m:r>
          <m:t>e</m:t>
        </m:r>
        <m:r>
          <m:t>f</m:t>
        </m:r>
        <m:r>
          <m:t>u</m:t>
        </m:r>
        <m:r>
          <m:t>l</m:t>
        </m:r>
        <m:r>
          <m:t>l</m:t>
        </m:r>
        <m:r>
          <m:rPr>
            <m:sty m:val="p"/>
          </m:rPr>
          <m:t>−</m:t>
        </m:r>
        <m:r>
          <m:t>y</m:t>
        </m:r>
        <m:r>
          <m:t>e</m:t>
        </m:r>
        <m:r>
          <m:t>a</m:t>
        </m:r>
        <m:r>
          <m:t>r</m:t>
        </m:r>
        <m:r>
          <m:t>g</m:t>
        </m:r>
        <m:r>
          <m:t>u</m:t>
        </m:r>
        <m:r>
          <m:t>i</m:t>
        </m:r>
        <m:r>
          <m:t>d</m:t>
        </m:r>
        <m:r>
          <m:t>e</m:t>
        </m:r>
        <m:r>
          <m:t>r</m:t>
        </m:r>
        <m:r>
          <m:t>e</m:t>
        </m:r>
        <m:r>
          <m:t>q</m:t>
        </m:r>
        <m:r>
          <m:t>u</m:t>
        </m:r>
        <m:r>
          <m:t>i</m:t>
        </m:r>
        <m:r>
          <m:t>r</m:t>
        </m:r>
        <m:r>
          <m:t>e</m:t>
        </m:r>
        <m:r>
          <m:t>s</m:t>
        </m:r>
        <m:r>
          <m:t>t</m:t>
        </m:r>
        <m:r>
          <m:t>h</m:t>
        </m:r>
        <m:r>
          <m:t>e</m:t>
        </m:r>
        <m:r>
          <m:t>r</m:t>
        </m:r>
        <m:r>
          <m:t>e</m:t>
        </m:r>
        <m:r>
          <m:t>m</m:t>
        </m:r>
        <m:r>
          <m:t>a</m:t>
        </m:r>
        <m:r>
          <m:t>i</m:t>
        </m:r>
        <m:r>
          <m:t>n</m:t>
        </m:r>
        <m:r>
          <m:t>i</m:t>
        </m:r>
        <m:r>
          <m:t>n</m:t>
        </m:r>
        <m:r>
          <m:t>g</m:t>
        </m:r>
        <m:r>
          <m:t>t</m:t>
        </m:r>
        <m:r>
          <m:t>h</m:t>
        </m:r>
        <m:r>
          <m:t>r</m:t>
        </m:r>
        <m:r>
          <m:t>e</m:t>
        </m:r>
        <m:r>
          <m:t>e</m:t>
        </m:r>
        <m:r>
          <m:t>q</m:t>
        </m:r>
        <m:r>
          <m:t>u</m:t>
        </m:r>
        <m:r>
          <m:t>a</m:t>
        </m:r>
        <m:r>
          <m:t>r</m:t>
        </m:r>
        <m:r>
          <m:t>t</m:t>
        </m:r>
        <m:r>
          <m:t>e</m:t>
        </m:r>
        <m:r>
          <m:t>r</m:t>
        </m:r>
        <m:r>
          <m:t>s</m:t>
        </m:r>
        <m:r>
          <m:t>t</m:t>
        </m:r>
        <m:r>
          <m:t>o</m:t>
        </m:r>
        <m:r>
          <m:t>d</m:t>
        </m:r>
        <m:r>
          <m:t>e</m:t>
        </m:r>
        <m:r>
          <m:t>l</m:t>
        </m:r>
        <m:r>
          <m:t>i</m:t>
        </m:r>
        <m:r>
          <m:t>v</m:t>
        </m:r>
        <m:r>
          <m:t>e</m:t>
        </m:r>
        <m:r>
          <m:t>r</m:t>
        </m:r>
        <m:r>
          <m:rPr>
            <m:sty m:val="p"/>
          </m:rPr>
          <m:t>*</m:t>
        </m:r>
        <m:r>
          <m:rPr>
            <m:sty m:val="p"/>
          </m:rPr>
          <m:t>*</m:t>
        </m:r>
      </m:oMath>
      <w:r>
        <w:t xml:space="preserve">1.82–</w:t>
      </w:r>
      <m:oMath>
        <m:r>
          <m:t>1.92</m:t>
        </m:r>
        <m:r>
          <m:rPr>
            <m:sty m:val="p"/>
          </m:rPr>
          <m:t>,</m:t>
        </m:r>
        <m:r>
          <m:t>u</m:t>
        </m:r>
        <m:r>
          <m:t>p</m:t>
        </m:r>
        <m:r>
          <m:t> </m:t>
        </m:r>
        <m:r>
          <m:t>6</m:t>
        </m:r>
        <m:r>
          <m:rPr>
            <m:sty m:val="p"/>
          </m:rPr>
          <m:t>–</m:t>
        </m:r>
        <m:r>
          <m:t>12</m:t>
        </m:r>
      </m:oMath>
      <w:r>
        <w:t xml:space="preserve">1.72).** Management has explicitly said the year is</w:t>
      </w:r>
      <w:r>
        <w:t xml:space="preserve"> </w:t>
      </w:r>
      <w:r>
        <w:rPr>
          <w:b/>
          <w:bCs/>
        </w:rPr>
        <w:t xml:space="preserve">heavily back-half weighted</w:t>
      </w:r>
      <w:r>
        <w:t xml:space="preserve">, with "stronger EPS growth in Q2 and Q4" given easier prior-year compares, gross-margin recovery in H2 (new 11th DC benefits, easing comparisons), and SG&amp;A deleverage front-loaded in H1.</w:t>
      </w:r>
    </w:p>
    <w:p>
      <w:pPr>
        <w:pStyle w:val="BodyText"/>
      </w:pPr>
      <w:r>
        <w:t xml:space="preserve">So Q2 is the first real test of that back-half acceleration thesis. Given Q2 is seasonally the largest and highest-margin quarter (13% op margin last year), even a small comp/margin miss compounds into a meaningful EPS shortfall — and puts the full-year number in doubt.</w:t>
      </w:r>
    </w:p>
    <w:p>
      <w:r>
        <w:pict>
          <v:rect style="width:0;height:1.5pt" o:hralign="center" o:hrstd="t" o:hr="t"/>
        </w:pict>
      </w:r>
    </w:p>
    <w:bookmarkEnd w:id="11"/>
    <w:bookmarkStart w:id="12" w:name="Xc616e13d0e1001e645d3f607ae8810651de8d3d"/>
    <w:p>
      <w:pPr>
        <w:pStyle w:val="Heading2"/>
      </w:pPr>
      <w:r>
        <w:t xml:space="preserve">4. What to watch on the print</w:t>
      </w:r>
    </w:p>
    <w:p>
      <w:pPr>
        <w:pStyle w:val="FirstParagraph"/>
      </w:pPr>
      <w:r>
        <w:rPr>
          <w:b/>
          <w:bCs/>
        </w:rPr>
        <w:t xml:space="preserve">(a) The comp inflection — does it actually show up?</w:t>
      </w:r>
      <w:r>
        <w:t xml:space="preserve"> </w:t>
      </w:r>
      <w:r>
        <w:t xml:space="preserve">On both the Q1 call (April 21) and at the Baird conference (June 2), management said trends were running "in the middle of" the 1–3% range early in Q2, with a normal seasonal ramp into Memorial Day and improving weather in the North. Watch whether the reported Q2 comp confirms sequential improvement from Q1's +0.5% back toward ~1.5–2%. Anything flat or negative would be a serious credibility problem.</w:t>
      </w:r>
    </w:p>
    <w:p>
      <w:pPr>
        <w:pStyle w:val="Compact"/>
        <w:numPr>
          <w:ilvl w:val="0"/>
          <w:numId w:val="1002"/>
        </w:numPr>
      </w:pPr>
      <w:r>
        <w:rPr>
          <w:b/>
          <w:bCs/>
        </w:rPr>
        <w:t xml:space="preserve">Ticket vs. transactions:</w:t>
      </w:r>
      <w:r>
        <w:t xml:space="preserve"> </w:t>
      </w:r>
      <w:r>
        <w:t xml:space="preserve">In Q1, ticket was +1.6% (≈150 bp of retail-price inflation) while transactions fell 1%. A healthier print needs transactions to stabilize/turn positive, not just price-driven ticket.</w:t>
      </w:r>
    </w:p>
    <w:p>
      <w:pPr>
        <w:pStyle w:val="FirstParagraph"/>
      </w:pPr>
      <w:r>
        <w:rPr>
          <w:b/>
          <w:bCs/>
        </w:rPr>
        <w:t xml:space="preserve">(b) Companion animal — the marginal swing factor, but a smaller headwind in Q2.</w:t>
      </w:r>
      <w:r>
        <w:t xml:space="preserve"> </w:t>
      </w:r>
      <w:r>
        <w:t xml:space="preserve">Pet has been the visible bruise: dog population has declined three straight years (~96M in 2023 → ~92M in 2025, expected to fall again), and TSCO over-indexes ~20 points toward dog and under-indexes cat, fresh/frozen, and services — where the growth is. Management guides pet to remain flat-to-slightly-negative all year.</w:t>
      </w:r>
      <w:r>
        <w:t xml:space="preserve"> </w:t>
      </w:r>
      <w:r>
        <w:rPr>
          <w:b/>
          <w:bCs/>
        </w:rPr>
        <w:t xml:space="preserve">Two mitigants for Q2 specifically:</w:t>
      </w:r>
      <w:r>
        <w:t xml:space="preserve"> </w:t>
      </w:r>
      <w:r>
        <w:t xml:space="preserve">(1) companion animal is only ~21% of Q2 sales vs. ~27–28% in Q1, so the mix drag mechanically shrinks; (2) self-help is ramping — Freshpet now in 250+ stores (path to ~700 by year-end), expanded cat assortment, a Q2 chain-wide dog food reset, and the newly announced</w:t>
      </w:r>
      <w:r>
        <w:t xml:space="preserve"> </w:t>
      </w:r>
      <w:r>
        <w:rPr>
          <w:b/>
          <w:bCs/>
        </w:rPr>
        <w:t xml:space="preserve">VIP Petcare acquisition</w:t>
      </w:r>
      <w:r>
        <w:t xml:space="preserve"> </w:t>
      </w:r>
      <w:r>
        <w:t xml:space="preserve">(mobile pet clinics, ~1M customers/yr) layered onto Allivet. Look for any early evidence these are "bending the curve."</w:t>
      </w:r>
    </w:p>
    <w:p>
      <w:pPr>
        <w:pStyle w:val="BodyText"/>
      </w:pPr>
      <w:r>
        <w:rPr>
          <w:b/>
          <w:bCs/>
        </w:rPr>
        <w:t xml:space="preserve">(c) Gross margin — the fulcrum for the EPS guide.</w:t>
      </w:r>
      <w:r>
        <w:t xml:space="preserve"> </w:t>
      </w:r>
      <w:r>
        <w:t xml:space="preserve">Q1 GM was flat y/y at 36.2%, with tariffs, freight and rising delivery/digital mix offsetting supply-chain and EDLP discipline. The compare here is tough: Q2 FY25 GM was a strong 36.9%. Management's guide leans on</w:t>
      </w:r>
      <w:r>
        <w:t xml:space="preserve"> </w:t>
      </w:r>
      <w:r>
        <w:rPr>
          <w:b/>
          <w:bCs/>
        </w:rPr>
        <w:t xml:space="preserve">H2</w:t>
      </w:r>
      <w:r>
        <w:t xml:space="preserve"> </w:t>
      </w:r>
      <w:r>
        <w:t xml:space="preserve">margin recovery (new DC, easing comps), so Q2 GM y/y is likely still pressured. Also watch</w:t>
      </w:r>
      <w:r>
        <w:t xml:space="preserve"> </w:t>
      </w:r>
      <w:r>
        <w:rPr>
          <w:b/>
          <w:bCs/>
        </w:rPr>
        <w:t xml:space="preserve">fuel/diesel</w:t>
      </w:r>
      <w:r>
        <w:t xml:space="preserve"> </w:t>
      </w:r>
      <w:r>
        <w:t xml:space="preserve">— a genuine 2026 wildcard flagged at Baird (higher freight input costs and a direct hit to the rural customer, who drives ~30% more miles than urban/suburban shoppers).</w:t>
      </w:r>
    </w:p>
    <w:p>
      <w:pPr>
        <w:pStyle w:val="BodyText"/>
      </w:pPr>
      <w:r>
        <w:rPr>
          <w:b/>
          <w:bCs/>
        </w:rPr>
        <w:t xml:space="preserve">(d) SG&amp;A deleverage — expected, but how much?</w:t>
      </w:r>
      <w:r>
        <w:t xml:space="preserve"> </w:t>
      </w:r>
      <w:r>
        <w:t xml:space="preserve">Q1 SG&amp;A deleveraged 70 bp on sub-breakeven comps (management cites a ~2% comp breakeven for SG&amp;A leverage), accelerated new-store cadence, and strategic investments (Direct Sales, Final Mile). Q2 is when TSCO</w:t>
      </w:r>
      <w:r>
        <w:t xml:space="preserve"> </w:t>
      </w:r>
      <w:r>
        <w:rPr>
          <w:b/>
          <w:bCs/>
        </w:rPr>
        <w:t xml:space="preserve">begins to cycle</w:t>
      </w:r>
      <w:r>
        <w:t xml:space="preserve"> </w:t>
      </w:r>
      <w:r>
        <w:t xml:space="preserve">the prior-year step-up in those investments, plus more normalized incentive comp — so deleverage should moderate vs. Q1 but likely persist. The ~$10M incremental 11th-DC expense is mostly H2.</w:t>
      </w:r>
    </w:p>
    <w:p>
      <w:pPr>
        <w:pStyle w:val="BodyText"/>
      </w:pPr>
      <w:r>
        <w:rPr>
          <w:b/>
          <w:bCs/>
        </w:rPr>
        <w:t xml:space="preserve">(e) The guidance decision — the headline risk.</w:t>
      </w:r>
      <w:r>
        <w:t xml:space="preserve"> </w:t>
      </w:r>
      <w:r>
        <w:t xml:space="preserve">Given the share-price action, the bar is asymmetric: reaffirming the full year (again) may be treated skeptically unless the comp genuinely inflected, while any trim to the $2.13–2.23 EPS or 1–3% comp range likely confirms the bear thesis. Watch commentary on whether they toggle down the ~100-store plan (management said at Baird they'd only adjust "10 or 20 stores," not drastically) and whether buyback pace steps up to defend EPS.</w:t>
      </w:r>
    </w:p>
    <w:p>
      <w:r>
        <w:pict>
          <v:rect style="width:0;height:1.5pt" o:hralign="center" o:hrstd="t" o:hr="t"/>
        </w:pict>
      </w:r>
    </w:p>
    <w:bookmarkEnd w:id="12"/>
    <w:bookmarkStart w:id="13" w:name="X3da9b1152e7aa5edf6b9da012867f06356a9db3"/>
    <w:p>
      <w:pPr>
        <w:pStyle w:val="Heading2"/>
      </w:pPr>
      <w:r>
        <w:t xml:space="preserve">5. Bull vs. bear framing</w:t>
      </w:r>
    </w:p>
    <w:p>
      <w:pPr>
        <w:pStyle w:val="FirstParagraph"/>
      </w:pPr>
      <w:r>
        <w:rPr>
          <w:b/>
          <w:bCs/>
        </w:rPr>
        <w:t xml:space="preserve">Bull case (why the stock may be oversold):</w:t>
      </w:r>
    </w:p>
    <w:p>
      <w:pPr>
        <w:pStyle w:val="Compact"/>
        <w:numPr>
          <w:ilvl w:val="0"/>
          <w:numId w:val="1003"/>
        </w:numPr>
      </w:pPr>
      <w:r>
        <w:t xml:space="preserve">Needs-based model with a loyal, high-retention core customer; farm &amp; ranch share gains continue (~2–3 pts above market).</w:t>
      </w:r>
    </w:p>
    <w:p>
      <w:pPr>
        <w:pStyle w:val="Compact"/>
        <w:numPr>
          <w:ilvl w:val="0"/>
          <w:numId w:val="1003"/>
        </w:numPr>
      </w:pPr>
      <w:r>
        <w:t xml:space="preserve">New stores remain highly accretive — ROIC ~23–25%, opening at ~65–70% of mature volume, first-year profitable; ~40 opened in Q1.</w:t>
      </w:r>
    </w:p>
    <w:p>
      <w:pPr>
        <w:pStyle w:val="Compact"/>
        <w:numPr>
          <w:ilvl w:val="0"/>
          <w:numId w:val="1003"/>
        </w:numPr>
      </w:pPr>
      <w:r>
        <w:t xml:space="preserve">Multiple offsets to pet: digital +20%+ (subscriptions triple-digit), Final Mile/Direct Sales, localization (200+ stores outperforming), garden/big-ticket/seasonal strength.</w:t>
      </w:r>
    </w:p>
    <w:p>
      <w:pPr>
        <w:pStyle w:val="Compact"/>
        <w:numPr>
          <w:ilvl w:val="0"/>
          <w:numId w:val="1003"/>
        </w:numPr>
      </w:pPr>
      <w:r>
        <w:t xml:space="preserve">Balance sheet supports dividend (17th consecutive annual increase) and $375–450M buyback; valuation now far cheaper than its historical premium.</w:t>
      </w:r>
    </w:p>
    <w:p>
      <w:pPr>
        <w:pStyle w:val="FirstParagraph"/>
      </w:pPr>
      <w:r>
        <w:rPr>
          <w:b/>
          <w:bCs/>
        </w:rPr>
        <w:t xml:space="preserve">Bear case (why the stock has halved):</w:t>
      </w:r>
    </w:p>
    <w:p>
      <w:pPr>
        <w:pStyle w:val="Compact"/>
        <w:numPr>
          <w:ilvl w:val="0"/>
          <w:numId w:val="1004"/>
        </w:numPr>
      </w:pPr>
      <w:r>
        <w:t xml:space="preserve">~80% of TSCO's TAM (farm &amp; ranch, pet, home improvement) is simultaneously soft — a demand problem, not just execution.</w:t>
      </w:r>
    </w:p>
    <w:p>
      <w:pPr>
        <w:pStyle w:val="Compact"/>
        <w:numPr>
          <w:ilvl w:val="0"/>
          <w:numId w:val="1004"/>
        </w:numPr>
      </w:pPr>
      <w:r>
        <w:t xml:space="preserve">Comps stuck near zero; growth reliant on new stores while EPS declines y/y — the "algorithm" may be resetting from ~3–5% comp toward ~1–3% (a question UBS's Lasser pressed directly).</w:t>
      </w:r>
    </w:p>
    <w:p>
      <w:pPr>
        <w:pStyle w:val="Compact"/>
        <w:numPr>
          <w:ilvl w:val="0"/>
          <w:numId w:val="1004"/>
        </w:numPr>
      </w:pPr>
      <w:r>
        <w:t xml:space="preserve">Full-year guide is heavily back-half loaded and looks increasingly at risk; a cut would validate the de-rating.</w:t>
      </w:r>
    </w:p>
    <w:p>
      <w:pPr>
        <w:pStyle w:val="Compact"/>
        <w:numPr>
          <w:ilvl w:val="0"/>
          <w:numId w:val="1004"/>
        </w:numPr>
      </w:pPr>
      <w:r>
        <w:t xml:space="preserve">Structural pet headwinds (dog population, cat/fresh/services under-indexing) won't reverse quickly, and self-help is early.</w:t>
      </w:r>
    </w:p>
    <w:p>
      <w:pPr>
        <w:pStyle w:val="Compact"/>
        <w:numPr>
          <w:ilvl w:val="0"/>
          <w:numId w:val="1004"/>
        </w:numPr>
      </w:pPr>
      <w:r>
        <w:t xml:space="preserve">Fuel/tariff cost pressure squeezes both margins and the rural consumer's wallet.</w:t>
      </w:r>
    </w:p>
    <w:p>
      <w:r>
        <w:pict>
          <v:rect style="width:0;height:1.5pt" o:hralign="center" o:hrstd="t" o:hr="t"/>
        </w:pict>
      </w:r>
    </w:p>
    <w:bookmarkEnd w:id="13"/>
    <w:bookmarkStart w:id="14" w:name="X49e34d9056703e0521ab3ce2e920b2c4ba97a36"/>
    <w:p>
      <w:pPr>
        <w:pStyle w:val="Heading2"/>
      </w:pPr>
      <w:r>
        <w:t xml:space="preserve">6. Bottom line</w:t>
      </w:r>
    </w:p>
    <w:p>
      <w:pPr>
        <w:pStyle w:val="FirstParagraph"/>
      </w:pPr>
      <w:r>
        <w:t xml:space="preserve">TSCO enters this print with sentiment on the floor and expectations reset sharply lower. The three things that will move the stock, in order:</w:t>
      </w:r>
    </w:p>
    <w:p>
      <w:pPr>
        <w:pStyle w:val="Compact"/>
        <w:numPr>
          <w:ilvl w:val="0"/>
          <w:numId w:val="1005"/>
        </w:numPr>
      </w:pPr>
      <w:r>
        <w:rPr>
          <w:b/>
          <w:bCs/>
        </w:rPr>
        <w:t xml:space="preserve">Did the comp inflect</w:t>
      </w:r>
      <w:r>
        <w:t xml:space="preserve"> </w:t>
      </w:r>
      <w:r>
        <w:t xml:space="preserve">back toward the 1–3% range (transactions, not just price)?</w:t>
      </w:r>
    </w:p>
    <w:p>
      <w:pPr>
        <w:pStyle w:val="Compact"/>
        <w:numPr>
          <w:ilvl w:val="0"/>
          <w:numId w:val="1005"/>
        </w:numPr>
      </w:pPr>
      <w:r>
        <w:rPr>
          <w:b/>
          <w:bCs/>
        </w:rPr>
        <w:t xml:space="preserve">Was the full-year EPS guide ($2.13–2.23) reaffirmed, cut, or effectively lowered</w:t>
      </w:r>
      <w:r>
        <w:t xml:space="preserve"> </w:t>
      </w:r>
      <w:r>
        <w:t xml:space="preserve">via cautious H2 commentary?</w:t>
      </w:r>
    </w:p>
    <w:p>
      <w:pPr>
        <w:pStyle w:val="Compact"/>
        <w:numPr>
          <w:ilvl w:val="0"/>
          <w:numId w:val="1005"/>
        </w:numPr>
      </w:pPr>
      <w:r>
        <w:rPr>
          <w:b/>
          <w:bCs/>
        </w:rPr>
        <w:t xml:space="preserve">Any tangible proof the pet/margin self-help is working</w:t>
      </w:r>
      <w:r>
        <w:t xml:space="preserve">, plus fuel/tariff commentary into H2.</w:t>
      </w:r>
    </w:p>
    <w:p>
      <w:pPr>
        <w:pStyle w:val="FirstParagraph"/>
      </w:pPr>
      <w:r>
        <w:t xml:space="preserve">Because the year is back-half weighted, a modest Q2 beat with a</w:t>
      </w:r>
      <w:r>
        <w:t xml:space="preserve"> </w:t>
      </w:r>
      <w:r>
        <w:rPr>
          <w:i/>
          <w:iCs/>
        </w:rPr>
        <w:t xml:space="preserve">reaffirmed and credibly de-risked</w:t>
      </w:r>
      <w:r>
        <w:t xml:space="preserve"> </w:t>
      </w:r>
      <w:r>
        <w:t xml:space="preserve">outlook could spark a relief rally off deeply depressed levels — while a soft comp and/or any downward guidance revision would likely confirm the market's fear that TSCO's growth algorithm has structurally reset. Given the ~50% drawdown, the risk/reward hinges less on the quarter's exact EPS and more on whether management can restore confidence in the back-half acceleration story.</w:t>
      </w:r>
    </w:p>
    <w:p>
      <w:pPr>
        <w:pStyle w:val="BodyText"/>
      </w:pPr>
      <w:r>
        <w:rPr>
          <w:i/>
          <w:iCs/>
        </w:rPr>
        <w:t xml:space="preserve">Note: A separate "TSCO" — UK grocer Tesco (TSCO.L) — appears in some news feeds (e.g., reported exploration of a sale of its Central/Eastern European operations). That is a different company and unrelated to this Tractor Supply preview.</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2026-07-23T00:47:49Z</dcterms:created>
  <dcterms:modified xsi:type="dcterms:W3CDTF">2026-07-23T00:47:49Z</dcterms:modified>
</cp:coreProperties>
</file>

<file path=docProps/custom.xml><?xml version="1.0" encoding="utf-8"?>
<Properties xmlns="http://schemas.openxmlformats.org/officeDocument/2006/custom-properties" xmlns:vt="http://schemas.openxmlformats.org/officeDocument/2006/docPropsVTypes"/>
</file>