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Store Sales (Q2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~-1.5% vs. cons +0.8%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~$0.78 vs. cons $0.84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Revenue (Q2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~$4.50B vs. cons $4.60B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rPr>
                  <m:sty m:val="p"/>
                </m:rPr>
                <m:t>−</m:t>
              </m:r>
            </m:oMath>
            <w:r>
              <w:t xml:space="preserve">2.00 vs. cons/prior guide</w:t>
            </w:r>
            <w:r>
              <w:t xml:space="preserve"> </w:t>
            </w:r>
            <m:oMath>
              <m:r>
                <m:t>2.13</m:t>
              </m:r>
              <m:r>
                <m:rPr>
                  <m:sty m:val="p"/>
                </m:rPr>
                <m:t>−</m:t>
              </m:r>
            </m:oMath>
            <w:r>
              <w:t xml:space="preserve">2.23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~0%-1% vs. prior guide/cons +1% to +3%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FY2026 Gross Margin / Operating 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~9.0%-9.3% operating margin vs. prior guide/cons 9.3%-9.6%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A guidance reset (FY26 EPS cut toward ~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2.00 and comp guide trimmed) confirms the bear case that sell-side models (Wolfe, BofA, UBS, TD Cowen) had already flagged, but 'official' consensus (Zacks/StockStory ~</w:t>
            </w:r>
            <m:oMath>
              <m:r>
                <m:t>0.84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4.6B revenue) still needs to catch down over the following days as analysts publish post-print model updates and further PT cuts, mechanically dragging out-period (Q3/Q4 FY26) EPS and comp estimates lower even if Q2 itself is roughly in line with the already-bearish whisper numbers. This estimate-revision drag, plus continued negative pet-category and traffic data, argues for continued downside pressure (follow-through) rather than an immediate 'kitchen-sink' relief bounce, though the magnitude of follow-through is tempered by how much bad news (40%+ decline, Strong Sell rank, $38 avg PT still above spot) is already priced 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2026-07-23T00:50:00Z</dcterms:created>
  <dcterms:modified xsi:type="dcterms:W3CDTF">2026-07-23T00:50:00Z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