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0fe42b5221b640298051f1032f34c3d0634c56d"/>
    <w:p>
      <w:pPr>
        <w:pStyle w:val="Heading1"/>
      </w:pPr>
      <w:r>
        <w:t xml:space="preserve">Tractor Supply Company (NASDAQ: TSCO) — Q2 FY2026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Thursday, July 23, 2026, before market open; conference call at 10:00 a.m. ET</w:t>
      </w:r>
      <w:r>
        <w:t xml:space="preserve"> </w:t>
      </w:r>
      <w:r>
        <w:rPr>
          <w:b/>
          <w:bCs/>
        </w:rPr>
        <w:t xml:space="preserve">Last close (7/22/26):</w:t>
      </w:r>
      <w:r>
        <w:t xml:space="preserve"> </w:t>
      </w:r>
      <w:r>
        <w:t xml:space="preserve">~</w:t>
      </w:r>
      <m:oMath>
        <m:r>
          <m:t>29.4</m:t>
        </m:r>
        <m:r>
          <m:rPr>
            <m:sty m:val="p"/>
          </m:rPr>
          <m:t>—</m:t>
        </m:r>
        <m:r>
          <m:t>n</m:t>
        </m:r>
        <m:r>
          <m:t>e</m:t>
        </m:r>
        <m:r>
          <m:t>a</m:t>
        </m:r>
        <m:r>
          <m:t>r</m:t>
        </m:r>
        <m:r>
          <m:t>52</m:t>
        </m:r>
        <m:r>
          <m:rPr>
            <m:sty m:val="p"/>
          </m:rPr>
          <m:t>−</m:t>
        </m:r>
        <m:r>
          <m:t>w</m:t>
        </m:r>
        <m:r>
          <m:t>e</m:t>
        </m:r>
        <m:r>
          <m:t>e</m:t>
        </m:r>
        <m:r>
          <m:t>k</m:t>
        </m:r>
        <m:r>
          <m:t>l</m:t>
        </m:r>
        <m:r>
          <m:t>o</m:t>
        </m:r>
        <m:r>
          <m:t>w</m:t>
        </m:r>
        <m:r>
          <m:t>s</m:t>
        </m:r>
        <m:r>
          <m:t>a</m:t>
        </m:r>
        <m:r>
          <m:t>n</m:t>
        </m:r>
        <m:r>
          <m:t>d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t>45</m:t>
        </m:r>
      </m:oMath>
      <w:r>
        <w:t xml:space="preserve">55) and more than 50% below the 52-week high near $64 set last July</w:t>
      </w:r>
    </w:p>
    <w:p>
      <w:r>
        <w:pict>
          <v:rect style="width:0;height:1.5pt" o:hralign="center" o:hrstd="t" o:hr="t"/>
        </w:pict>
      </w:r>
    </w:p>
    <w:bookmarkStart w:id="9" w:name="Xfc5a49b66068a71cf5f871e6064d358a0a4b185"/>
    <w:p>
      <w:pPr>
        <w:pStyle w:val="Heading2"/>
      </w:pPr>
      <w:r>
        <w:t xml:space="preserve">1. Setup: a stock that has been de-rated all year</w:t>
      </w:r>
    </w:p>
    <w:p>
      <w:pPr>
        <w:pStyle w:val="FirstParagraph"/>
      </w:pPr>
      <w:r>
        <w:t xml:space="preserve">TSCO has been one of the worst-performing large-cap retail stories of 2026. The de-rating began with disappointing FY26 guidance issued alongside Q4 FY25 results in late January, deepened sharply after the Q1 FY26 report on April 21 (shares fell roughly 9-12% that day), and has continued grinding lower through Q2 as high-frequency data (Placer.ai foot traffic) showed a strong April followed by softening traffic in May and June. Heading into tomorrow's print, sell-side sentiment has turned decisively cautious: in the past two weeks alone, Baird, BofA, Raymond James, Citi, TD Cowen, UBS, Barclays, Telsey and Mizuho have all cut price targets (several into the</w:t>
      </w:r>
      <w:r>
        <w:t xml:space="preserve"> </w:t>
      </w:r>
      <m:oMath>
        <m:r>
          <m:t>32</m:t>
        </m:r>
        <m:r>
          <m:rPr>
            <m:sty m:val="p"/>
          </m:rPr>
          <m:t>–</m:t>
        </m:r>
      </m:oMath>
      <w:r>
        <w:t xml:space="preserve">40 range, down from</w:t>
      </w:r>
      <w:r>
        <w:t xml:space="preserve"> </w:t>
      </w:r>
      <m:oMath>
        <m:r>
          <m:t>44</m:t>
        </m:r>
        <m:r>
          <m:rPr>
            <m:sty m:val="p"/>
          </m:rPr>
          <m:t>–</m:t>
        </m:r>
      </m:oMath>
      <w:r>
        <w:t xml:space="preserve">60), Mizuho downgraded to Neutral, and Zacks moved to a "Strong Sell" rank. The average sell-side price target has fallen to roughly $38, still implying meaningful upside from current levels, but the tone of nearly every recent note is the same:</w:t>
      </w:r>
      <w:r>
        <w:t xml:space="preserve"> </w:t>
      </w:r>
      <w:r>
        <w:rPr>
          <w:b/>
          <w:bCs/>
        </w:rPr>
        <w:t xml:space="preserve">this quarter is likely to be a "guidance reset."</w:t>
      </w:r>
    </w:p>
    <w:bookmarkEnd w:id="9"/>
    <w:bookmarkStart w:id="10" w:name="X49edf621dbc8872b45203cf598969080599d3d2"/>
    <w:p>
      <w:pPr>
        <w:pStyle w:val="Heading2"/>
      </w:pPr>
      <w:r>
        <w:t xml:space="preserve">2. What happened last quarter (Q1 FY26, reported April 21)</w:t>
      </w:r>
    </w:p>
    <w:p>
      <w:pPr>
        <w:pStyle w:val="FirstParagraph"/>
      </w:pPr>
      <w:r>
        <w:t xml:space="preserve">Q1 set the stage for the current skepticism. Tractor Supply reported financial results for its first quarter ended March 28, 2026 with:</w:t>
      </w:r>
    </w:p>
    <w:p>
      <w:pPr>
        <w:pStyle w:val="Compact"/>
        <w:numPr>
          <w:ilvl w:val="0"/>
          <w:numId w:val="1001"/>
        </w:numPr>
      </w:pPr>
      <w:r>
        <w:t xml:space="preserve">Net sales increased 3.6% to $3.59 billion... Comparable Store Sales Increased 0.5%, missing Street revenue estimates of roughly $3.63–3.64 billion.</w:t>
      </w:r>
    </w:p>
    <w:p>
      <w:pPr>
        <w:pStyle w:val="Compact"/>
        <w:numPr>
          <w:ilvl w:val="0"/>
          <w:numId w:val="1001"/>
        </w:numPr>
      </w:pPr>
      <w:r>
        <w:t xml:space="preserve">Diluted Earnings per Share ("EPS") of $0.31, down from</w:t>
      </w:r>
      <w:r>
        <w:t xml:space="preserve"> </w:t>
      </w:r>
      <m:oMath>
        <m:r>
          <m:t>0.34</m:t>
        </m:r>
        <m:r>
          <m:t>a</m:t>
        </m:r>
        <m:r>
          <m:t>y</m:t>
        </m:r>
        <m:r>
          <m:t>e</m:t>
        </m:r>
        <m:r>
          <m:t>a</m:t>
        </m:r>
        <m:r>
          <m:t>r</m:t>
        </m:r>
        <m:r>
          <m:t>a</m:t>
        </m:r>
        <m:r>
          <m:t>g</m:t>
        </m:r>
        <m:r>
          <m:t>o</m:t>
        </m:r>
        <m:r>
          <m:t>a</m:t>
        </m:r>
        <m:r>
          <m:t>n</m:t>
        </m:r>
        <m:r>
          <m:t>d</m:t>
        </m:r>
        <m:r>
          <m:t>w</m:t>
        </m:r>
        <m:r>
          <m:t>e</m:t>
        </m:r>
        <m:r>
          <m:t>l</m:t>
        </m:r>
        <m:r>
          <m:t>l</m:t>
        </m:r>
        <m:r>
          <m:t>b</m:t>
        </m:r>
        <m:r>
          <m:t>e</m:t>
        </m:r>
        <m:r>
          <m:t>l</m:t>
        </m:r>
        <m:r>
          <m:t>o</m:t>
        </m:r>
        <m:r>
          <m:t>w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0.35 consensus.</w:t>
      </w:r>
    </w:p>
    <w:p>
      <w:pPr>
        <w:pStyle w:val="Compact"/>
        <w:numPr>
          <w:ilvl w:val="0"/>
          <w:numId w:val="1001"/>
        </w:numPr>
      </w:pPr>
      <w:r>
        <w:t xml:space="preserve">Comparable average ticket increased 1.6%, partially offset by a comparable average transaction count decrease of 1.0%, and companion animal performance was below the Company average, reflecting softer demand trends, category shifts and an unfavorable product mix — management quantified this as roughly a 100-bps drag on the total comp.</w:t>
      </w:r>
    </w:p>
    <w:p>
      <w:pPr>
        <w:pStyle w:val="Compact"/>
        <w:numPr>
          <w:ilvl w:val="0"/>
          <w:numId w:val="1001"/>
        </w:numPr>
      </w:pPr>
      <w:r>
        <w:t xml:space="preserve">Gross margin was flat at 36.2%, while SG&amp;A expenses...increased 6.1%...As a percent of net sales, SG&amp;A expenses increased 70 basis points to 29.7%, driving a 6.3% decline in operating income.</w:t>
      </w:r>
    </w:p>
    <w:p>
      <w:pPr>
        <w:pStyle w:val="Compact"/>
        <w:numPr>
          <w:ilvl w:val="0"/>
          <w:numId w:val="1001"/>
        </w:numPr>
      </w:pPr>
      <w:r>
        <w:t xml:space="preserve">Despite the miss, the company reiterated the following financial guidance for fiscal year 2026...Net Sales +4% to +6%, Comparable Store Sales +1% to +3%, Operating Margin Rate 9.3% to 9.6%, Net Income $1.11 billion to $1.17 billion, Earnings per Diluted Share $2.13 to $2.23.</w:t>
      </w:r>
    </w:p>
    <w:p>
      <w:pPr>
        <w:pStyle w:val="FirstParagraph"/>
      </w:pPr>
      <w:r>
        <w:t xml:space="preserve">On the call, CEO Hal Lawton and CFO Kurt Barton framed pet (companion animal) weakness as largely</w:t>
      </w:r>
      <w:r>
        <w:t xml:space="preserve"> </w:t>
      </w:r>
      <w:r>
        <w:rPr>
          <w:b/>
          <w:bCs/>
        </w:rPr>
        <w:t xml:space="preserve">structural</w:t>
      </w:r>
      <w:r>
        <w:t xml:space="preserve">: Tractor Supply over-indexes to dog ownership (roughly 80/20 dog/cat mix vs. a 60/40 market), is under-indexed in the faster-growing cat category and in fresh/frozen/premium pet nutrition, and is contending with a shrinking U.S. dog population (management cited a decline from ~96 million dogs in 2023 to ~92 million in 2025). Management laid out a multi-pronged fix — scaling fresh/frozen pet from ~80 stores to 250 by end of May (path to 700 by year-end), expanding cat assortment in Fusion-format stores, relaunching the Retriever exclusive brand in Q3, and leaning on digital/subscription, PetRx (Allivet) and pet services (pet wash, PetVet mobile clinics) — but conceded the pressure would likely persist "for some time." Encouragingly, new-store economics remained strong (a record 40 stores opened in Q1 at 65–70% productivity), digital sales grew double-digits, and localization/Fusion remodels continued to outperform.</w:t>
      </w:r>
    </w:p>
    <w:bookmarkEnd w:id="10"/>
    <w:bookmarkStart w:id="11" w:name="X943285fa79cd5e3409f45f6b6db3a15fef33764"/>
    <w:p>
      <w:pPr>
        <w:pStyle w:val="Heading2"/>
      </w:pPr>
      <w:r>
        <w:t xml:space="preserve">3. What's changed since Q1 — and why the bar keeps dropping</w:t>
      </w:r>
    </w:p>
    <w:p>
      <w:pPr>
        <w:pStyle w:val="FirstParagraph"/>
      </w:pPr>
      <w:r>
        <w:t xml:space="preserve">Management said in April that quarter-to-date trends were running at the midpoint of the 1%-3% comp guidance range, helped by improving weather in the North and a lighter pet mix in Q2. But subsequent traffic data pointed to a strong April followed by a slowdown in May and June, and sell-side models have since diverged sharply from prior Street numbers: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Wolfe Research</w:t>
      </w:r>
      <w:r>
        <w:t xml:space="preserve"> </w:t>
      </w:r>
      <w:r>
        <w:t xml:space="preserve">now models Q2 comps at</w:t>
      </w:r>
      <w:r>
        <w:t xml:space="preserve"> </w:t>
      </w:r>
      <w:r>
        <w:rPr>
          <w:b/>
          <w:bCs/>
        </w:rPr>
        <w:t xml:space="preserve">-2.5%</w:t>
      </w:r>
      <w:r>
        <w:t xml:space="preserve"> </w:t>
      </w:r>
      <w:r>
        <w:t xml:space="preserve">(vs. a Street estimate of roughly +0.8%) and EPS of</w:t>
      </w:r>
      <w:r>
        <w:t xml:space="preserve"> </w:t>
      </w:r>
      <w:r>
        <w:rPr>
          <w:b/>
          <w:bCs/>
        </w:rPr>
        <w:t xml:space="preserve">$0.77</w:t>
      </w:r>
      <w:r>
        <w:t xml:space="preserve"> </w:t>
      </w:r>
      <w:r>
        <w:t xml:space="preserve">(vs. a Street estimate near</w:t>
      </w:r>
      <w:r>
        <w:t xml:space="preserve"> </w:t>
      </w:r>
      <m:oMath>
        <m:r>
          <m:t>0.84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s</m:t>
        </m:r>
        <m:r>
          <m:t>T</m:t>
        </m:r>
        <m:r>
          <m:t>r</m:t>
        </m:r>
        <m:r>
          <m:t>a</m:t>
        </m:r>
        <m:r>
          <m:t>c</m:t>
        </m:r>
        <m:r>
          <m:t>t</m:t>
        </m:r>
        <m:r>
          <m:t>o</m:t>
        </m:r>
        <m:r>
          <m:t>r</m:t>
        </m:r>
        <m:r>
          <m:t>S</m:t>
        </m:r>
        <m:r>
          <m:t>u</m:t>
        </m:r>
        <m:r>
          <m:t>p</m:t>
        </m:r>
        <m:r>
          <m:t>p</m:t>
        </m:r>
        <m:r>
          <m:t>l</m:t>
        </m:r>
        <m:r>
          <m:t>y</m:t>
        </m:r>
        <m:r>
          <m:t>t</m:t>
        </m:r>
        <m:r>
          <m:t>o</m:t>
        </m:r>
        <m:r>
          <m:t>c</m:t>
        </m:r>
        <m:r>
          <m:t>u</m:t>
        </m:r>
        <m:r>
          <m:t>t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E</m:t>
        </m:r>
        <m:r>
          <m:t>P</m:t>
        </m:r>
        <m:r>
          <m:t>S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t>i</m:t>
        </m:r>
        <m:r>
          <m:t>n</m:t>
        </m:r>
        <m:r>
          <m:t>t</m:t>
        </m:r>
        <m:r>
          <m:t>o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1.89–$2.00** range — well below the current</w:t>
      </w:r>
      <w:r>
        <w:t xml:space="preserve"> </w:t>
      </w:r>
      <m:oMath>
        <m:r>
          <m:t>2.13</m:t>
        </m:r>
        <m:r>
          <m:rPr>
            <m:sty m:val="p"/>
          </m:rPr>
          <m:t>–</m:t>
        </m:r>
      </m:oMath>
      <w:r>
        <w:t xml:space="preserve">2.23 guide. Wolfe has also cut its Q3 comp estimate to -3.5% against a difficult +3.9% prior-year compare.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BofA, UBS, TD Cowen, Mizuho and Telsey</w:t>
      </w:r>
      <w:r>
        <w:t xml:space="preserve"> </w:t>
      </w:r>
      <w:r>
        <w:t xml:space="preserve">have each said explicitly that they expect management to lower FY26 guidance this week, with several framing Q2 as a needed "reset" that could remove a persistent overhang on the stock even if it confirms near-term disappointment. As UBS put it, the market wants evidence TSCO can return to its long-term algorithm of 3%–5% comparable sales growth, but "few expect that proof will emerge this quarter."</w:t>
      </w:r>
    </w:p>
    <w:p>
      <w:pPr>
        <w:pStyle w:val="Compact"/>
        <w:numPr>
          <w:ilvl w:val="0"/>
          <w:numId w:val="1002"/>
        </w:numPr>
      </w:pPr>
      <w:r>
        <w:t xml:space="preserve">More generic consensus trackers (Zacks/StockStory) still show</w:t>
      </w:r>
      <w:r>
        <w:t xml:space="preserve"> </w:t>
      </w:r>
      <w:r>
        <w:rPr>
          <w:b/>
          <w:bCs/>
        </w:rPr>
        <w:t xml:space="preserve">Q2 EPS estimates near</w:t>
      </w:r>
      <w:r>
        <w:rPr>
          <w:b/>
          <w:bCs/>
        </w:rPr>
        <w:t xml:space="preserve"> </w:t>
      </w:r>
      <m:oMath>
        <m:r>
          <m:t>0.84</m:t>
        </m:r>
        <m:r>
          <m:rPr>
            <m:sty m:val="p"/>
          </m:rPr>
          <m:t>–</m:t>
        </m:r>
      </m:oMath>
      <w:r>
        <w:rPr>
          <w:b/>
          <w:bCs/>
        </w:rPr>
        <w:t xml:space="preserve">0.85</w:t>
      </w:r>
      <w:r>
        <w:t xml:space="preserve"> </w:t>
      </w:r>
      <w:r>
        <w:t xml:space="preserve">(up modestly year-over-year from $0.81) and</w:t>
      </w:r>
      <w:r>
        <w:t xml:space="preserve"> </w:t>
      </w:r>
      <w:r>
        <w:rPr>
          <w:b/>
          <w:bCs/>
        </w:rPr>
        <w:t xml:space="preserve">revenue near $4.6 billion</w:t>
      </w:r>
      <w:r>
        <w:t xml:space="preserve"> </w:t>
      </w:r>
      <w:r>
        <w:t xml:space="preserve">(+3.4%–4.6% y/y), but these "official" consensus figures may lag the more bearish buy-side repositioning described above — a gap investors should watch closely into the print.</w:t>
      </w:r>
    </w:p>
    <w:bookmarkEnd w:id="11"/>
    <w:bookmarkStart w:id="12" w:name="Xa0f68f0e661649356c4e36615a263d545e3dd50"/>
    <w:p>
      <w:pPr>
        <w:pStyle w:val="Heading2"/>
      </w:pPr>
      <w:r>
        <w:t xml:space="preserve">4. Key things to watch in tomorrow's report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Companion animal trajectory.</w:t>
      </w:r>
      <w:r>
        <w:t xml:space="preserve"> </w:t>
      </w:r>
      <w:r>
        <w:t xml:space="preserve">Is pet comp stabilizing (management's own base case of "flat to slightly negative" for the year) or deteriorating further? Watch for updates on fresh/frozen pet rollout (target: 700 stores by year-end), cat assortment expansion, and early read on the Q2 dog-food/adjacency upgrade and Q3 Retriever relaunch.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Total comp and the 1%–3% guidance band.</w:t>
      </w:r>
      <w:r>
        <w:t xml:space="preserve"> </w:t>
      </w:r>
      <w:r>
        <w:t xml:space="preserve">Given weakening spring/early-summer traffic data cited by multiple analysts, does TSCO print within, at the low end of, or below its own guided range? A print near flat-to-negative would validate the bear case.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Guidance: reaffirm, trim, or reset?</w:t>
      </w:r>
      <w:r>
        <w:t xml:space="preserve"> </w:t>
      </w:r>
      <w:r>
        <w:t xml:space="preserve">With operating income already down 6.3% in Q1 and SG&amp;A deleveraging, the key question is whether management holds the</w:t>
      </w:r>
      <w:r>
        <w:t xml:space="preserve"> </w:t>
      </w:r>
      <m:oMath>
        <m:r>
          <m:t>2.13</m:t>
        </m:r>
        <m:r>
          <m:rPr>
            <m:sty m:val="p"/>
          </m:rPr>
          <m:t>–</m:t>
        </m:r>
      </m:oMath>
      <w:r>
        <w:t xml:space="preserve">2.23 EPS guide (as it did in Q1) or finally resets full-year expectations lower — which several analysts view as the more likely and, paradoxically, potentially stock-supportive outcome if it draws a line under the estimate-cutting cycle.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Margins: tariffs, freight, and the new DC.</w:t>
      </w:r>
      <w:r>
        <w:t xml:space="preserve"> </w:t>
      </w:r>
      <w:r>
        <w:t xml:space="preserve">Gross margin was flat at 36.2% in Q1 despite tariff and delivery-cost pressure; management guided to gross-margin strengthening in the second half as compares ease and the 11th distribution center (opening early Q4, ~$10 million incremental cost mostly in H2) ramps. Any incremental commentary on tariff exposure, fuel/oil cost assumptions, and freight will matter for H2 margin credibility.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SG&amp;A leverage and new-store cadence.</w:t>
      </w:r>
      <w:r>
        <w:t xml:space="preserve"> </w:t>
      </w:r>
      <w:r>
        <w:t xml:space="preserve">Q1's deleverage was driven by fixed-cost drag below the ~2% comp breakeven, accelerated new-store openings (40 in Q1), and continued investment in Direct Sales and Final Mile. Watch whether cost discipline is showing through as the year progresses and whether new-store productivity (65%–70% range) holds.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Strategic initiatives (the offsets).</w:t>
      </w:r>
      <w:r>
        <w:t xml:space="preserve"> </w:t>
      </w:r>
      <w:r>
        <w:t xml:space="preserve">Digital (double-digit/mid-teens online pet growth), Final Mile delivery hub expansion (200 hubs added last year, 176 more planned this year), localization (~200 stores converted, outperforming the Fusion base), and wildlife/recreation department conversions (target raised from ~500 to ~700 stores) are the levers management is counting on to offset pet softness — progress updates here will be a swing factor for sentiment.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Capital return.</w:t>
      </w:r>
      <w:r>
        <w:t xml:space="preserve"> </w:t>
      </w:r>
      <w:r>
        <w:t xml:space="preserve">TSCO returned $244 million to shareholders in Q1 (buybacks plus dividends) and just marked its 17th consecutive year of dividend increases; continuity of buyback pace amid margin pressure will be a signal of balance-sheet confidence.</w:t>
      </w:r>
    </w:p>
    <w:bookmarkEnd w:id="12"/>
    <w:bookmarkStart w:id="13" w:name="Xeb687f78f022c46ebe8194beef039718fd38975"/>
    <w:p>
      <w:pPr>
        <w:pStyle w:val="Heading2"/>
      </w:pPr>
      <w:r>
        <w:t xml:space="preserve">5. Setting up the print: bull vs. bear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Bear case:</w:t>
      </w:r>
      <w:r>
        <w:t xml:space="preserve"> </w:t>
      </w:r>
      <w:r>
        <w:t xml:space="preserve">Comps miss the low end of guidance as pet remains a 100+ bps drag and discretionary/big-ticket categories soften further; management is forced to cut FY26 EPS guidance meaningfully (toward the</w:t>
      </w:r>
      <w:r>
        <w:t xml:space="preserve"> </w:t>
      </w:r>
      <m:oMath>
        <m:r>
          <m:t>1.90</m:t>
        </m:r>
        <m:r>
          <m:rPr>
            <m:sty m:val="p"/>
          </m:rPr>
          <m:t>–</m:t>
        </m:r>
      </m:oMath>
      <w:r>
        <w:t xml:space="preserve">2.00 area flagged by bearish sell-side models); SG&amp;A deleverage persists as new-store/strategic investment costs outrun a sub-2% comp. Given the stock's already-battered levels, a "kitchen sink" guidance cut with a credible reset narrative could ironically be better received than another quarter of "reaffirmed but unbelievable" guidance.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Bull case:</w:t>
      </w:r>
      <w:r>
        <w:t xml:space="preserve"> </w:t>
      </w:r>
      <w:r>
        <w:t xml:space="preserve">Farm &amp; ranch share gains continue, seasonal/big-ticket categories (Zero Turn mowers, live goods, Chick Days) and digital/Final Mile keep outperforming, pet shows early signs of stabilizing as fresh/cat initiatives scale, and management either holds guidance with credible H2 margin visibility (new DC, easier compares) or resets it to a level the market views as conservative and beatable — providing a valuation floor given TSCO now trades well below its historical multiple and 52-week range.</w:t>
      </w:r>
    </w:p>
    <w:bookmarkEnd w:id="13"/>
    <w:bookmarkStart w:id="14" w:name="X49e34d9056703e0521ab3ce2e920b2c4ba97a36"/>
    <w:p>
      <w:pPr>
        <w:pStyle w:val="Heading2"/>
      </w:pPr>
      <w:r>
        <w:t xml:space="preserve">6. Bottom line</w:t>
      </w:r>
    </w:p>
    <w:p>
      <w:pPr>
        <w:pStyle w:val="FirstParagraph"/>
      </w:pPr>
      <w:r>
        <w:t xml:space="preserve">Expectations have been ratcheted down sharply and repeatedly since January, and the stock — down roughly 40%+ from 2026 highs and trading near 52-week lows — already reflects a good deal of bad news. The central debate for this print is less about the exact comp or EPS beat/miss and more about</w:t>
      </w:r>
      <w:r>
        <w:t xml:space="preserve"> </w:t>
      </w:r>
      <w:r>
        <w:rPr>
          <w:b/>
          <w:bCs/>
        </w:rPr>
        <w:t xml:space="preserve">whether management finally resets FY26 guidance to a level Wall Street can underwrite</w:t>
      </w:r>
      <w:r>
        <w:t xml:space="preserve">, and whether there is any concrete evidence that the companion-animal initiatives (fresh/frozen pet, cat expansion, Retriever relaunch, digital/Rx) are beginning to arrest the pet-driven comp drag. A clean guidance reset paired with stabilizing non-pet trends (farm &amp; ranch, seasonal, big-ticket, digital) would likely be read as a long-awaited "kitchen sink" moment; another quarter of reaffirmed-but-unconvincing guidance alongside continued margin deleverage would probably extend the stock's downtrend.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2026-07-23T00:50:00Z</dcterms:created>
  <dcterms:modified xsi:type="dcterms:W3CDTF">2026-07-23T00:50:00Z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