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tsco-q2-2026-earnings-preview"/>
    <w:p>
      <w:pPr>
        <w:pStyle w:val="Heading1"/>
      </w:pPr>
      <w:r>
        <w:t xml:space="preserve">TSCO Q2 2026 Earnings Preview</w:t>
      </w:r>
    </w:p>
    <w:p>
      <w:pPr>
        <w:pStyle w:val="BlockText"/>
      </w:pPr>
      <w:r>
        <w:rPr>
          <w:b/>
          <w:bCs/>
        </w:rPr>
        <w:t xml:space="preserve">Timing note:</w:t>
      </w:r>
      <w:r>
        <w:t xml:space="preserve"> </w:t>
      </w:r>
      <w:r>
        <w:t xml:space="preserve">Tractor Supply’s announced schedule calls for Q2 results</w:t>
      </w:r>
      <w:r>
        <w:t xml:space="preserve"> </w:t>
      </w:r>
      <w:r>
        <w:rPr>
          <w:b/>
          <w:bCs/>
        </w:rPr>
        <w:t xml:space="preserve">before the market opens on Thursday, July 23, 2026</w:t>
      </w:r>
      <w:r>
        <w:t xml:space="preserve">—today, rather than tomorrow. The preview below assumes the results have not yet been released. (</w:t>
      </w:r>
      <w:hyperlink r:id="rId9">
        <w:r>
          <w:rPr>
            <w:rStyle w:val="Hyperlink"/>
          </w:rPr>
          <w:t xml:space="preserve">corporate.tractorsupply.com</w:t>
        </w:r>
      </w:hyperlink>
      <w:r>
        <w:t xml:space="preserve">)</w:t>
      </w:r>
    </w:p>
    <w:bookmarkStart w:id="11" w:name="executive-view"/>
    <w:p>
      <w:pPr>
        <w:pStyle w:val="Heading2"/>
      </w:pPr>
      <w:r>
        <w:t xml:space="preserve">Executive view</w:t>
      </w:r>
    </w:p>
    <w:p>
      <w:pPr>
        <w:pStyle w:val="FirstParagraph"/>
      </w:pPr>
      <w:r>
        <w:t xml:space="preserve">This report is less about whether Tractor Supply can beat a relatively modest Q2 earnings estimate and more about</w:t>
      </w:r>
      <w:r>
        <w:t xml:space="preserve"> </w:t>
      </w:r>
      <w:r>
        <w:rPr>
          <w:b/>
          <w:bCs/>
        </w:rPr>
        <w:t xml:space="preserve">whether management can preserve the credibility of its full-year outlook</w:t>
      </w:r>
      <w:r>
        <w:t xml:space="preserve">.</w:t>
      </w:r>
    </w:p>
    <w:p>
      <w:pPr>
        <w:pStyle w:val="BodyText"/>
      </w:pPr>
      <w:r>
        <w:t xml:space="preserve">Three months ago, TSCO reaffirmed 2026 guidance despite a soft first quarter:</w:t>
      </w:r>
    </w:p>
    <w:p>
      <w:pPr>
        <w:pStyle w:val="Compact"/>
        <w:numPr>
          <w:ilvl w:val="0"/>
          <w:numId w:val="1001"/>
        </w:numPr>
      </w:pPr>
      <w:r>
        <w:t xml:space="preserve">Net sales growth:</w:t>
      </w:r>
      <w:r>
        <w:t xml:space="preserve"> </w:t>
      </w:r>
      <w:r>
        <w:rPr>
          <w:b/>
          <w:bCs/>
        </w:rPr>
        <w:t xml:space="preserve">4%–6%</w:t>
      </w:r>
    </w:p>
    <w:p>
      <w:pPr>
        <w:pStyle w:val="Compact"/>
        <w:numPr>
          <w:ilvl w:val="0"/>
          <w:numId w:val="1001"/>
        </w:numPr>
      </w:pPr>
      <w:r>
        <w:t xml:space="preserve">Comparable-store sales:</w:t>
      </w:r>
      <w:r>
        <w:t xml:space="preserve"> </w:t>
      </w:r>
      <w:r>
        <w:rPr>
          <w:b/>
          <w:bCs/>
        </w:rPr>
        <w:t xml:space="preserve">1%–3%</w:t>
      </w:r>
    </w:p>
    <w:p>
      <w:pPr>
        <w:pStyle w:val="Compact"/>
        <w:numPr>
          <w:ilvl w:val="0"/>
          <w:numId w:val="1001"/>
        </w:numPr>
      </w:pPr>
      <w:r>
        <w:t xml:space="preserve">Operating margin:</w:t>
      </w:r>
      <w:r>
        <w:t xml:space="preserve"> </w:t>
      </w:r>
      <w:r>
        <w:rPr>
          <w:b/>
          <w:bCs/>
        </w:rPr>
        <w:t xml:space="preserve">9.3%–9.6%</w:t>
      </w:r>
    </w:p>
    <w:p>
      <w:pPr>
        <w:pStyle w:val="Compact"/>
        <w:numPr>
          <w:ilvl w:val="0"/>
          <w:numId w:val="1001"/>
        </w:numPr>
      </w:pPr>
      <w:r>
        <w:t xml:space="preserve">Diluted EPS:</w:t>
      </w:r>
      <w:r>
        <w:t xml:space="preserve"> </w:t>
      </w:r>
      <m:oMath>
        <m:r>
          <m:t>2.13</m:t>
        </m:r>
        <m:r>
          <m:rPr>
            <m:sty m:val="p"/>
          </m:rPr>
          <m:t>–</m:t>
        </m:r>
      </m:oMath>
      <w:r>
        <w:rPr>
          <w:b/>
          <w:bCs/>
        </w:rPr>
        <w:t xml:space="preserve">2.23</w:t>
      </w:r>
    </w:p>
    <w:p>
      <w:pPr>
        <w:pStyle w:val="FirstParagraph"/>
      </w:pPr>
      <w:r>
        <w:t xml:space="preserve">Since then, expectations have deteriorated. The Street is looking for roughly</w:t>
      </w:r>
      <w:r>
        <w:t xml:space="preserve"> </w:t>
      </w:r>
      <m:oMath>
        <m:r>
          <m:t>4.6</m:t>
        </m:r>
        <m:r>
          <m:rPr>
            <m:sty m:val="p"/>
          </m:rPr>
          <m:t>–</m:t>
        </m:r>
      </m:oMath>
      <w:r>
        <w:rPr>
          <w:b/>
          <w:bCs/>
        </w:rPr>
        <w:t xml:space="preserve">4.65 billion of revenue,</w:t>
      </w:r>
      <w:r>
        <w:rPr>
          <w:b/>
          <w:bCs/>
        </w:rPr>
        <w:t xml:space="preserve"> </w:t>
      </w:r>
      <m:oMath>
        <m:r>
          <m:t>0.83</m:t>
        </m:r>
        <m:r>
          <m:rPr>
            <m:sty m:val="p"/>
          </m:rPr>
          <m:t>–</m:t>
        </m:r>
      </m:oMath>
      <w:r>
        <w:rPr>
          <w:b/>
          <w:bCs/>
        </w:rPr>
        <w:t xml:space="preserve">0.85 of EPS and approximately 1% comparable-sales growth</w:t>
      </w:r>
      <w:r>
        <w:t xml:space="preserve">. More importantly, the current full-year consensus near</w:t>
      </w:r>
      <w:r>
        <w:t xml:space="preserve"> </w:t>
      </w:r>
      <w:r>
        <w:rPr>
          <w:b/>
          <w:bCs/>
        </w:rPr>
        <w:t xml:space="preserve">$2.08</w:t>
      </w:r>
      <w:r>
        <w:t xml:space="preserve"> </w:t>
      </w:r>
      <w:r>
        <w:t xml:space="preserve">sits below the low end of management’s EPS guidance, indicating investors already expect at least some reduction. (</w:t>
      </w:r>
      <w:hyperlink r:id="rId10">
        <w:r>
          <w:rPr>
            <w:rStyle w:val="Hyperlink"/>
          </w:rPr>
          <w:t xml:space="preserve">investing.com</w:t>
        </w:r>
      </w:hyperlink>
      <w:r>
        <w:t xml:space="preserve">)</w:t>
      </w:r>
    </w:p>
    <w:p>
      <w:pPr>
        <w:pStyle w:val="BodyText"/>
      </w:pPr>
      <w:r>
        <w:rPr>
          <w:b/>
          <w:bCs/>
        </w:rPr>
        <w:t xml:space="preserve">My central question:</w:t>
      </w:r>
      <w:r>
        <w:t xml:space="preserve"> </w:t>
      </w:r>
      <w:r>
        <w:t xml:space="preserve">Can stronger seasonal, farm-and-ranch and digital sales offset persistent weakness in companion animal without sacrificing margin?</w:t>
      </w:r>
    </w:p>
    <w:p>
      <w:r>
        <w:pict>
          <v:rect style="width:0;height:1.5pt" o:hralign="center" o:hrstd="t" o:hr="t"/>
        </w:pict>
      </w:r>
    </w:p>
    <w:bookmarkEnd w:id="11"/>
    <w:bookmarkStart w:id="12"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Approx. YoY change</w:t>
            </w:r>
          </w:p>
        </w:tc>
      </w:tr>
      <w:tr>
        <w:tc>
          <w:tcPr/>
          <w:p>
            <w:pPr>
              <w:pStyle w:val="Compact"/>
            </w:pPr>
            <w:r>
              <w:t xml:space="preserve">Revenue</w:t>
            </w:r>
          </w:p>
        </w:tc>
        <w:tc>
          <w:tcPr/>
          <w:p>
            <w:pPr>
              <w:pStyle w:val="Compact"/>
              <w:jc w:val="right"/>
            </w:pPr>
            <w:r>
              <w:t xml:space="preserve">~</w:t>
            </w:r>
            <m:oMath>
              <m:r>
                <m:t>4.6</m:t>
              </m:r>
              <m:r>
                <m:rPr>
                  <m:sty m:val="p"/>
                </m:rPr>
                <m:t>–</m:t>
              </m:r>
            </m:oMath>
            <w:r>
              <w:t xml:space="preserve">4.65B</w:t>
            </w:r>
          </w:p>
        </w:tc>
        <w:tc>
          <w:tcPr/>
          <w:p>
            <w:pPr>
              <w:pStyle w:val="Compact"/>
              <w:jc w:val="right"/>
            </w:pPr>
            <w:r>
              <w:t xml:space="preserve">$4.44B</w:t>
            </w:r>
          </w:p>
        </w:tc>
        <w:tc>
          <w:tcPr/>
          <w:p>
            <w:pPr>
              <w:pStyle w:val="Compact"/>
              <w:jc w:val="right"/>
            </w:pPr>
            <w:r>
              <w:t xml:space="preserve">~4%–5%</w:t>
            </w:r>
          </w:p>
        </w:tc>
      </w:tr>
      <w:tr>
        <w:tc>
          <w:tcPr/>
          <w:p>
            <w:pPr>
              <w:pStyle w:val="Compact"/>
            </w:pPr>
            <w:r>
              <w:t xml:space="preserve">Comparable sales</w:t>
            </w:r>
          </w:p>
        </w:tc>
        <w:tc>
          <w:tcPr/>
          <w:p>
            <w:pPr>
              <w:pStyle w:val="Compact"/>
              <w:jc w:val="right"/>
            </w:pPr>
            <w:r>
              <w:t xml:space="preserve">~1.0%</w:t>
            </w:r>
          </w:p>
        </w:tc>
        <w:tc>
          <w:tcPr/>
          <w:p>
            <w:pPr>
              <w:pStyle w:val="Compact"/>
              <w:jc w:val="right"/>
            </w:pPr>
            <w:r>
              <w:t xml:space="preserve">1.5%</w:t>
            </w:r>
          </w:p>
        </w:tc>
        <w:tc>
          <w:tcPr/>
          <w:p>
            <w:pPr>
              <w:pStyle w:val="Compact"/>
              <w:jc w:val="right"/>
            </w:pPr>
            <w:r>
              <w:t xml:space="preserve">Moderation</w:t>
            </w:r>
          </w:p>
        </w:tc>
      </w:tr>
      <w:tr>
        <w:tc>
          <w:tcPr/>
          <w:p>
            <w:pPr>
              <w:pStyle w:val="Compact"/>
            </w:pPr>
            <w:r>
              <w:t xml:space="preserve">Diluted EPS</w:t>
            </w:r>
          </w:p>
        </w:tc>
        <w:tc>
          <w:tcPr/>
          <w:p>
            <w:pPr>
              <w:pStyle w:val="Compact"/>
              <w:jc w:val="right"/>
            </w:pPr>
            <w:r>
              <w:t xml:space="preserve">~</w:t>
            </w:r>
            <m:oMath>
              <m:r>
                <m:t>0.83</m:t>
              </m:r>
              <m:r>
                <m:rPr>
                  <m:sty m:val="p"/>
                </m:rPr>
                <m:t>–</m:t>
              </m:r>
            </m:oMath>
            <w:r>
              <w:t xml:space="preserve">0.85</w:t>
            </w:r>
          </w:p>
        </w:tc>
        <w:tc>
          <w:tcPr/>
          <w:p>
            <w:pPr>
              <w:pStyle w:val="Compact"/>
              <w:jc w:val="right"/>
            </w:pPr>
            <w:r>
              <w:t xml:space="preserve">$0.81</w:t>
            </w:r>
          </w:p>
        </w:tc>
        <w:tc>
          <w:tcPr/>
          <w:p>
            <w:pPr>
              <w:pStyle w:val="Compact"/>
              <w:jc w:val="right"/>
            </w:pPr>
            <w:r>
              <w:t xml:space="preserve">~2%–5%</w:t>
            </w:r>
          </w:p>
        </w:tc>
      </w:tr>
      <w:tr>
        <w:tc>
          <w:tcPr/>
          <w:p>
            <w:pPr>
              <w:pStyle w:val="Compact"/>
            </w:pPr>
            <w:r>
              <w:t xml:space="preserve">FY2026 EPS consensus</w:t>
            </w:r>
          </w:p>
        </w:tc>
        <w:tc>
          <w:tcPr/>
          <w:p>
            <w:pPr>
              <w:pStyle w:val="Compact"/>
              <w:jc w:val="right"/>
            </w:pPr>
            <w:r>
              <w:t xml:space="preserve">~$2.08</w:t>
            </w:r>
          </w:p>
        </w:tc>
        <w:tc>
          <w:tcPr/>
          <w:p>
            <w:pPr>
              <w:pStyle w:val="Compact"/>
              <w:jc w:val="right"/>
            </w:pPr>
            <w:r>
              <w:t xml:space="preserve">—</w:t>
            </w:r>
          </w:p>
        </w:tc>
        <w:tc>
          <w:tcPr/>
          <w:p>
            <w:pPr>
              <w:pStyle w:val="Compact"/>
              <w:jc w:val="right"/>
            </w:pPr>
            <w:r>
              <w:t xml:space="preserve">Below company guidance</w:t>
            </w:r>
          </w:p>
        </w:tc>
      </w:tr>
    </w:tbl>
    <w:p>
      <w:pPr>
        <w:pStyle w:val="BodyText"/>
      </w:pPr>
      <w:r>
        <w:t xml:space="preserve">The range of analyst views is unusually wide. Telsey recently modeled</w:t>
      </w:r>
      <w:r>
        <w:t xml:space="preserve"> </w:t>
      </w:r>
      <w:r>
        <w:rPr>
          <w:b/>
          <w:bCs/>
        </w:rPr>
        <w:t xml:space="preserve">0.5% comps and $0.85 EPS</w:t>
      </w:r>
      <w:r>
        <w:t xml:space="preserve">, while Wolfe Research modeled</w:t>
      </w:r>
      <w:r>
        <w:t xml:space="preserve"> </w:t>
      </w:r>
      <w:r>
        <w:rPr>
          <w:b/>
          <w:bCs/>
        </w:rPr>
        <w:t xml:space="preserve">negative 2.5% comps and</w:t>
      </w:r>
      <w:r>
        <w:rPr>
          <w:b/>
          <w:bCs/>
        </w:rPr>
        <w:t xml:space="preserve"> </w:t>
      </w:r>
      <m:oMath>
        <m:r>
          <m:t>0.77</m:t>
        </m:r>
        <m:r>
          <m:t>E</m:t>
        </m:r>
        <m:r>
          <m:t>P</m:t>
        </m:r>
        <m:r>
          <m:t>S</m:t>
        </m:r>
        <m:r>
          <m:rPr>
            <m:sty m:val="p"/>
          </m:rPr>
          <m:t>*</m:t>
        </m:r>
        <m:r>
          <m:rPr>
            <m:sty m:val="p"/>
          </m:rPr>
          <m:t>*</m:t>
        </m:r>
        <m:r>
          <m:t>a</m:t>
        </m:r>
        <m:r>
          <m:t>n</m:t>
        </m:r>
        <m:r>
          <m:t>d</m:t>
        </m:r>
        <m:r>
          <m:t>e</m:t>
        </m:r>
        <m:r>
          <m:t>x</m:t>
        </m:r>
        <m:r>
          <m:t>p</m:t>
        </m:r>
        <m:r>
          <m:t>e</m:t>
        </m:r>
        <m:r>
          <m:t>c</m:t>
        </m:r>
        <m:r>
          <m:t>t</m:t>
        </m:r>
        <m:r>
          <m:t>s</m:t>
        </m:r>
        <m:r>
          <m:t>m</m:t>
        </m:r>
        <m:r>
          <m:t>a</m:t>
        </m:r>
        <m:r>
          <m:t>n</m:t>
        </m:r>
        <m:r>
          <m:t>a</m:t>
        </m:r>
        <m:r>
          <m:t>g</m:t>
        </m:r>
        <m:r>
          <m:t>e</m:t>
        </m:r>
        <m:r>
          <m:t>m</m:t>
        </m:r>
        <m:r>
          <m:t>e</m:t>
        </m:r>
        <m:r>
          <m:t>n</m:t>
        </m:r>
        <m:r>
          <m:t>t</m:t>
        </m:r>
        <m:r>
          <m:t>t</m:t>
        </m:r>
        <m:r>
          <m:t>o</m:t>
        </m:r>
        <m:r>
          <m:t>c</m:t>
        </m:r>
        <m:r>
          <m:t>u</m:t>
        </m:r>
        <m:r>
          <m:t>t</m:t>
        </m:r>
        <m:r>
          <m:t>f</m:t>
        </m:r>
        <m:r>
          <m:t>u</m:t>
        </m:r>
        <m:r>
          <m:t>l</m:t>
        </m:r>
        <m:r>
          <m:t>l</m:t>
        </m:r>
        <m:r>
          <m:rPr>
            <m:sty m:val="p"/>
          </m:rPr>
          <m:t>−</m:t>
        </m:r>
        <m:r>
          <m:t>y</m:t>
        </m:r>
        <m:r>
          <m:t>e</m:t>
        </m:r>
        <m:r>
          <m:t>a</m:t>
        </m:r>
        <m:r>
          <m:t>r</m:t>
        </m:r>
        <m:r>
          <m:t>g</m:t>
        </m:r>
        <m:r>
          <m:t>u</m:t>
        </m:r>
        <m:r>
          <m:t>i</m:t>
        </m:r>
        <m:r>
          <m:t>d</m:t>
        </m:r>
        <m:r>
          <m:t>a</m:t>
        </m:r>
        <m:r>
          <m:t>n</m:t>
        </m:r>
        <m:r>
          <m:t>c</m:t>
        </m:r>
        <m:r>
          <m:t>e</m:t>
        </m:r>
        <m:r>
          <m:t>t</m:t>
        </m:r>
        <m:r>
          <m:t>o</m:t>
        </m:r>
        <m:r>
          <m:t>w</m:t>
        </m:r>
        <m:r>
          <m:t>a</m:t>
        </m:r>
        <m:r>
          <m:t>r</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1.90–$2.00</w:t>
      </w:r>
      <w:r>
        <w:t xml:space="preserve">. That dispersion makes the comparable-sales result—and management’s explanation of the quarter—more important than a one- or two-cent EPS difference. (</w:t>
      </w:r>
      <w:hyperlink r:id="rId10">
        <w:r>
          <w:rPr>
            <w:rStyle w:val="Hyperlink"/>
          </w:rPr>
          <w:t xml:space="preserve">investing.com</w:t>
        </w:r>
      </w:hyperlink>
      <w:r>
        <w:t xml:space="preserve">)</w:t>
      </w:r>
    </w:p>
    <w:p>
      <w:r>
        <w:pict>
          <v:rect style="width:0;height:1.5pt" o:hralign="center" o:hrstd="t" o:hr="t"/>
        </w:pict>
      </w:r>
    </w:p>
    <w:bookmarkEnd w:id="12"/>
    <w:bookmarkStart w:id="19" w:name="the-five-things-that-matter-most"/>
    <w:p>
      <w:pPr>
        <w:pStyle w:val="Heading2"/>
      </w:pPr>
      <w:r>
        <w:t xml:space="preserve">The five things that matter most</w:t>
      </w:r>
    </w:p>
    <w:bookmarkStart w:id="13" w:name="X0e7010a89798c922e2ccabddd4f0912b2749d23"/>
    <w:p>
      <w:pPr>
        <w:pStyle w:val="Heading3"/>
      </w:pPr>
      <w:r>
        <w:t xml:space="preserve">1. Comparable sales—and the quality of the comp</w:t>
      </w:r>
    </w:p>
    <w:p>
      <w:pPr>
        <w:pStyle w:val="FirstParagraph"/>
      </w:pPr>
      <w:r>
        <w:t xml:space="preserve">Q1 comparable sales rose only</w:t>
      </w:r>
      <w:r>
        <w:t xml:space="preserve"> </w:t>
      </w:r>
      <w:r>
        <w:rPr>
          <w:b/>
          <w:bCs/>
        </w:rPr>
        <w:t xml:space="preserve">0.5%</w:t>
      </w:r>
      <w:r>
        <w:t xml:space="preserve">, consisting of:</w:t>
      </w:r>
    </w:p>
    <w:p>
      <w:pPr>
        <w:pStyle w:val="Compact"/>
        <w:numPr>
          <w:ilvl w:val="0"/>
          <w:numId w:val="1002"/>
        </w:numPr>
      </w:pPr>
      <w:r>
        <w:rPr>
          <w:b/>
          <w:bCs/>
        </w:rPr>
        <w:t xml:space="preserve">1.6% higher average ticket</w:t>
      </w:r>
    </w:p>
    <w:p>
      <w:pPr>
        <w:pStyle w:val="Compact"/>
        <w:numPr>
          <w:ilvl w:val="0"/>
          <w:numId w:val="1002"/>
        </w:numPr>
      </w:pPr>
      <w:r>
        <w:rPr>
          <w:b/>
          <w:bCs/>
        </w:rPr>
        <w:t xml:space="preserve">1.0% lower transactions</w:t>
      </w:r>
    </w:p>
    <w:p>
      <w:pPr>
        <w:pStyle w:val="Compact"/>
        <w:numPr>
          <w:ilvl w:val="0"/>
          <w:numId w:val="1002"/>
        </w:numPr>
      </w:pPr>
      <w:r>
        <w:t xml:space="preserve">Approximately</w:t>
      </w:r>
      <w:r>
        <w:t xml:space="preserve"> </w:t>
      </w:r>
      <w:r>
        <w:rPr>
          <w:b/>
          <w:bCs/>
        </w:rPr>
        <w:t xml:space="preserve">150 basis points of retail price inflation</w:t>
      </w:r>
    </w:p>
    <w:p>
      <w:pPr>
        <w:pStyle w:val="FirstParagraph"/>
      </w:pPr>
      <w:r>
        <w:t xml:space="preserve">That is not an especially strong sales composition. Customers were making fewer trips, consolidating purchases and prioritizing necessities. Management nevertheless said Q2 comps should improve sequentially and fall within its</w:t>
      </w:r>
      <w:r>
        <w:t xml:space="preserve"> </w:t>
      </w:r>
      <w:r>
        <w:rPr>
          <w:b/>
          <w:bCs/>
        </w:rPr>
        <w:t xml:space="preserve">1%–3%</w:t>
      </w:r>
      <w:r>
        <w:t xml:space="preserve"> </w:t>
      </w:r>
      <w:r>
        <w:t xml:space="preserve">range.</w:t>
      </w:r>
    </w:p>
    <w:p>
      <w:pPr>
        <w:pStyle w:val="BodyText"/>
      </w:pPr>
      <w:r>
        <w:t xml:space="preserve">Investors should separate the Q2 comp into:</w:t>
      </w:r>
    </w:p>
    <w:p>
      <w:pPr>
        <w:pStyle w:val="Compact"/>
        <w:numPr>
          <w:ilvl w:val="0"/>
          <w:numId w:val="1003"/>
        </w:numPr>
      </w:pPr>
      <w:r>
        <w:rPr>
          <w:b/>
          <w:bCs/>
        </w:rPr>
        <w:t xml:space="preserve">Transactions</w:t>
      </w:r>
    </w:p>
    <w:p>
      <w:pPr>
        <w:pStyle w:val="Compact"/>
        <w:numPr>
          <w:ilvl w:val="0"/>
          <w:numId w:val="1003"/>
        </w:numPr>
      </w:pPr>
      <w:r>
        <w:rPr>
          <w:b/>
          <w:bCs/>
        </w:rPr>
        <w:t xml:space="preserve">Price/inflation</w:t>
      </w:r>
    </w:p>
    <w:p>
      <w:pPr>
        <w:pStyle w:val="Compact"/>
        <w:numPr>
          <w:ilvl w:val="0"/>
          <w:numId w:val="1003"/>
        </w:numPr>
      </w:pPr>
      <w:r>
        <w:rPr>
          <w:b/>
          <w:bCs/>
        </w:rPr>
        <w:t xml:space="preserve">Units per transaction</w:t>
      </w:r>
    </w:p>
    <w:p>
      <w:pPr>
        <w:pStyle w:val="Compact"/>
        <w:numPr>
          <w:ilvl w:val="0"/>
          <w:numId w:val="1003"/>
        </w:numPr>
      </w:pPr>
      <w:r>
        <w:rPr>
          <w:b/>
          <w:bCs/>
        </w:rPr>
        <w:t xml:space="preserve">Category mix</w:t>
      </w:r>
    </w:p>
    <w:p>
      <w:pPr>
        <w:pStyle w:val="FirstParagraph"/>
      </w:pPr>
      <w:r>
        <w:t xml:space="preserve">A 1% comp driven by positive traffic would be materially healthier than the same result driven entirely by pricing. Conversely, another quarter of negative transactions would suggest the problem extends beyond pet-category mix and into broader customer engagement.</w:t>
      </w:r>
    </w:p>
    <w:p>
      <w:pPr>
        <w:pStyle w:val="BodyText"/>
      </w:pPr>
      <w:r>
        <w:rPr>
          <w:b/>
          <w:bCs/>
        </w:rPr>
        <w:t xml:space="preserve">Key threshold:</w:t>
      </w:r>
      <w:r>
        <w:t xml:space="preserve"> </w:t>
      </w:r>
      <w:r>
        <w:t xml:space="preserve">A comp at or above approximately</w:t>
      </w:r>
      <w:r>
        <w:t xml:space="preserve"> </w:t>
      </w:r>
      <w:r>
        <w:rPr>
          <w:b/>
          <w:bCs/>
        </w:rPr>
        <w:t xml:space="preserve">1%</w:t>
      </w:r>
      <w:r>
        <w:t xml:space="preserve">, preferably with improving transactions, would support the current annual sales framework. A flat or negative comp would make a guidance reduction difficult to avoid.</w:t>
      </w:r>
    </w:p>
    <w:p>
      <w:r>
        <w:pict>
          <v:rect style="width:0;height:1.5pt" o:hralign="center" o:hrstd="t" o:hr="t"/>
        </w:pict>
      </w:r>
    </w:p>
    <w:bookmarkEnd w:id="13"/>
    <w:bookmarkStart w:id="14" w:name="Xaf2c7898d5c873c8f9a0739d68e8c7ace6fc763"/>
    <w:p>
      <w:pPr>
        <w:pStyle w:val="Heading3"/>
      </w:pPr>
      <w:r>
        <w:t xml:space="preserve">2. Companion animal remains the largest operating issue</w:t>
      </w:r>
    </w:p>
    <w:p>
      <w:pPr>
        <w:pStyle w:val="FirstParagraph"/>
      </w:pPr>
      <w:r>
        <w:t xml:space="preserve">Companion animal reduced Q1 comparable sales by</w:t>
      </w:r>
      <w:r>
        <w:t xml:space="preserve"> </w:t>
      </w:r>
      <w:r>
        <w:rPr>
          <w:b/>
          <w:bCs/>
        </w:rPr>
        <w:t xml:space="preserve">more than 100 basis points</w:t>
      </w:r>
      <w:r>
        <w:t xml:space="preserve">. TSCO is disproportionately exposed to dog food—particularly larger dogs and traditional dry kibble—while category growth has shifted toward cats, fresh/frozen food, premium nutrition and digital fulfillment.</w:t>
      </w:r>
    </w:p>
    <w:p>
      <w:pPr>
        <w:pStyle w:val="BodyText"/>
      </w:pPr>
      <w:r>
        <w:t xml:space="preserve">Management’s response includes:</w:t>
      </w:r>
    </w:p>
    <w:p>
      <w:pPr>
        <w:pStyle w:val="Compact"/>
        <w:numPr>
          <w:ilvl w:val="0"/>
          <w:numId w:val="1004"/>
        </w:numPr>
      </w:pPr>
      <w:r>
        <w:t xml:space="preserve">Expanding fresh and frozen pet food from roughly 80 stores at the start of Q1 to a planned</w:t>
      </w:r>
      <w:r>
        <w:t xml:space="preserve"> </w:t>
      </w:r>
      <w:r>
        <w:rPr>
          <w:b/>
          <w:bCs/>
        </w:rPr>
        <w:t xml:space="preserve">700 stores by year-end</w:t>
      </w:r>
    </w:p>
    <w:p>
      <w:pPr>
        <w:pStyle w:val="Compact"/>
        <w:numPr>
          <w:ilvl w:val="0"/>
          <w:numId w:val="1004"/>
        </w:numPr>
      </w:pPr>
      <w:r>
        <w:t xml:space="preserve">Increasing cat-food space and assortment</w:t>
      </w:r>
    </w:p>
    <w:p>
      <w:pPr>
        <w:pStyle w:val="Compact"/>
        <w:numPr>
          <w:ilvl w:val="0"/>
          <w:numId w:val="1004"/>
        </w:numPr>
      </w:pPr>
      <w:r>
        <w:t xml:space="preserve">Adding national and premium dog-food brands</w:t>
      </w:r>
    </w:p>
    <w:p>
      <w:pPr>
        <w:pStyle w:val="Compact"/>
        <w:numPr>
          <w:ilvl w:val="0"/>
          <w:numId w:val="1004"/>
        </w:numPr>
      </w:pPr>
      <w:r>
        <w:t xml:space="preserve">Extending the 4health exclusive brand</w:t>
      </w:r>
    </w:p>
    <w:p>
      <w:pPr>
        <w:pStyle w:val="Compact"/>
        <w:numPr>
          <w:ilvl w:val="0"/>
          <w:numId w:val="1004"/>
        </w:numPr>
      </w:pPr>
      <w:r>
        <w:t xml:space="preserve">Growing subscriptions, PetRx and Allivet</w:t>
      </w:r>
    </w:p>
    <w:p>
      <w:pPr>
        <w:pStyle w:val="Compact"/>
        <w:numPr>
          <w:ilvl w:val="0"/>
          <w:numId w:val="1004"/>
        </w:numPr>
      </w:pPr>
      <w:r>
        <w:t xml:space="preserve">Using Final Mile delivery to improve the economics of large-format food orders</w:t>
      </w:r>
    </w:p>
    <w:p>
      <w:pPr>
        <w:pStyle w:val="FirstParagraph"/>
      </w:pPr>
      <w:r>
        <w:t xml:space="preserve">Management previously indicated that companion animal could remain flat to slightly negative for the year, with improvement building only gradually. Investors therefore should not expect a complete turnaround in Q2.</w:t>
      </w:r>
    </w:p>
    <w:p>
      <w:pPr>
        <w:pStyle w:val="BodyText"/>
      </w:pPr>
      <w:r>
        <w:t xml:space="preserve">The more realistic tests are:</w:t>
      </w:r>
    </w:p>
    <w:p>
      <w:pPr>
        <w:pStyle w:val="Compact"/>
        <w:numPr>
          <w:ilvl w:val="0"/>
          <w:numId w:val="1005"/>
        </w:numPr>
      </w:pPr>
      <w:r>
        <w:t xml:space="preserve">Did pet stop deteriorating sequentially?</w:t>
      </w:r>
    </w:p>
    <w:p>
      <w:pPr>
        <w:pStyle w:val="Compact"/>
        <w:numPr>
          <w:ilvl w:val="0"/>
          <w:numId w:val="1005"/>
        </w:numPr>
      </w:pPr>
      <w:r>
        <w:t xml:space="preserve">Are fresh/frozen and expanded cat assortments producing incremental customers?</w:t>
      </w:r>
    </w:p>
    <w:p>
      <w:pPr>
        <w:pStyle w:val="Compact"/>
        <w:numPr>
          <w:ilvl w:val="0"/>
          <w:numId w:val="1005"/>
        </w:numPr>
      </w:pPr>
      <w:r>
        <w:t xml:space="preserve">Is pet still a roughly 100-basis-point drag on total comps?</w:t>
      </w:r>
    </w:p>
    <w:p>
      <w:pPr>
        <w:pStyle w:val="Compact"/>
        <w:numPr>
          <w:ilvl w:val="0"/>
          <w:numId w:val="1005"/>
        </w:numPr>
      </w:pPr>
      <w:r>
        <w:t xml:space="preserve">Does management still expect improvement late in 2026?</w:t>
      </w:r>
    </w:p>
    <w:p>
      <w:pPr>
        <w:pStyle w:val="FirstParagraph"/>
      </w:pPr>
      <w:r>
        <w:t xml:space="preserve">A stable pet result may be sufficient. Another material step down would undermine both the comp outlook and confidence in TSCO’s long-term growth algorithm.</w:t>
      </w:r>
    </w:p>
    <w:p>
      <w:r>
        <w:pict>
          <v:rect style="width:0;height:1.5pt" o:hralign="center" o:hrstd="t" o:hr="t"/>
        </w:pict>
      </w:r>
    </w:p>
    <w:bookmarkEnd w:id="14"/>
    <w:bookmarkStart w:id="15" w:name="X7763b2f23b6f53bb4afb14a9dbd9161cf18efc9"/>
    <w:p>
      <w:pPr>
        <w:pStyle w:val="Heading3"/>
      </w:pPr>
      <w:r>
        <w:t xml:space="preserve">3. Seasonal execution needs to deliver</w:t>
      </w:r>
    </w:p>
    <w:p>
      <w:pPr>
        <w:pStyle w:val="FirstParagraph"/>
      </w:pPr>
      <w:r>
        <w:t xml:space="preserve">Q2 is TSCO’s largest and most profitable seasonal quarter. In Q1, management reported encouraging early momentum in:</w:t>
      </w:r>
    </w:p>
    <w:p>
      <w:pPr>
        <w:pStyle w:val="Compact"/>
        <w:numPr>
          <w:ilvl w:val="0"/>
          <w:numId w:val="1006"/>
        </w:numPr>
      </w:pPr>
      <w:r>
        <w:t xml:space="preserve">Live goods</w:t>
      </w:r>
    </w:p>
    <w:p>
      <w:pPr>
        <w:pStyle w:val="Compact"/>
        <w:numPr>
          <w:ilvl w:val="0"/>
          <w:numId w:val="1006"/>
        </w:numPr>
      </w:pPr>
      <w:r>
        <w:t xml:space="preserve">Zero-turn mowers</w:t>
      </w:r>
    </w:p>
    <w:p>
      <w:pPr>
        <w:pStyle w:val="Compact"/>
        <w:numPr>
          <w:ilvl w:val="0"/>
          <w:numId w:val="1006"/>
        </w:numPr>
      </w:pPr>
      <w:r>
        <w:t xml:space="preserve">Lawn and garden</w:t>
      </w:r>
    </w:p>
    <w:p>
      <w:pPr>
        <w:pStyle w:val="Compact"/>
        <w:numPr>
          <w:ilvl w:val="0"/>
          <w:numId w:val="1006"/>
        </w:numPr>
      </w:pPr>
      <w:r>
        <w:t xml:space="preserve">Sprayers and chemicals</w:t>
      </w:r>
    </w:p>
    <w:p>
      <w:pPr>
        <w:pStyle w:val="Compact"/>
        <w:numPr>
          <w:ilvl w:val="0"/>
          <w:numId w:val="1006"/>
        </w:numPr>
      </w:pPr>
      <w:r>
        <w:t xml:space="preserve">Agricultural fencing</w:t>
      </w:r>
    </w:p>
    <w:p>
      <w:pPr>
        <w:pStyle w:val="Compact"/>
        <w:numPr>
          <w:ilvl w:val="0"/>
          <w:numId w:val="1006"/>
        </w:numPr>
      </w:pPr>
      <w:r>
        <w:t xml:space="preserve">Chick Days</w:t>
      </w:r>
    </w:p>
    <w:p>
      <w:pPr>
        <w:pStyle w:val="Compact"/>
        <w:numPr>
          <w:ilvl w:val="0"/>
          <w:numId w:val="1006"/>
        </w:numPr>
      </w:pPr>
      <w:r>
        <w:t xml:space="preserve">Other big-ticket categories</w:t>
      </w:r>
    </w:p>
    <w:p>
      <w:pPr>
        <w:pStyle w:val="FirstParagraph"/>
      </w:pPr>
      <w:r>
        <w:t xml:space="preserve">Management also said northern-market spring demand had begun improving early in Q2 after a delayed start.</w:t>
      </w:r>
    </w:p>
    <w:p>
      <w:pPr>
        <w:pStyle w:val="BodyText"/>
      </w:pPr>
      <w:r>
        <w:t xml:space="preserve">That creates a relatively clear setup:</w:t>
      </w:r>
      <w:r>
        <w:t xml:space="preserve"> </w:t>
      </w:r>
      <w:r>
        <w:rPr>
          <w:b/>
          <w:bCs/>
        </w:rPr>
        <w:t xml:space="preserve">seasonal sales need to offset pet weakness</w:t>
      </w:r>
      <w:r>
        <w:t xml:space="preserve">. Investors should listen for performance in mowers, live goods and outdoor categories, plus whether demand held after the initial spring ramp.</w:t>
      </w:r>
    </w:p>
    <w:p>
      <w:pPr>
        <w:pStyle w:val="BodyText"/>
      </w:pPr>
      <w:r>
        <w:t xml:space="preserve">A strong seasonal quarter would also be more encouraging if it includes healthy sell-through rather than promotions. Weak seasonal sales could leave TSCO with excess inventory and pressure second-half gross margin.</w:t>
      </w:r>
    </w:p>
    <w:p>
      <w:r>
        <w:pict>
          <v:rect style="width:0;height:1.5pt" o:hralign="center" o:hrstd="t" o:hr="t"/>
        </w:pict>
      </w:r>
    </w:p>
    <w:bookmarkEnd w:id="15"/>
    <w:bookmarkStart w:id="16" w:name="X08c6d507b7a1f9f5c56c6e8ecfa9a56bf632f1b"/>
    <w:p>
      <w:pPr>
        <w:pStyle w:val="Heading3"/>
      </w:pPr>
      <w:r>
        <w:t xml:space="preserve">4. Gross margin versus SG&amp;A deleverage</w:t>
      </w:r>
    </w:p>
    <w:p>
      <w:pPr>
        <w:pStyle w:val="FirstParagraph"/>
      </w:pPr>
      <w:r>
        <w:t xml:space="preserve">Q1 gross margin was essentially flat at</w:t>
      </w:r>
      <w:r>
        <w:t xml:space="preserve"> </w:t>
      </w:r>
      <w:r>
        <w:rPr>
          <w:b/>
          <w:bCs/>
        </w:rPr>
        <w:t xml:space="preserve">36.2%</w:t>
      </w:r>
      <w:r>
        <w:t xml:space="preserve">, as product-cost management and pricing offset tariffs and higher delivery-related transportation expense. The larger problem was SG&amp;A:</w:t>
      </w:r>
    </w:p>
    <w:p>
      <w:pPr>
        <w:pStyle w:val="Compact"/>
        <w:numPr>
          <w:ilvl w:val="0"/>
          <w:numId w:val="1007"/>
        </w:numPr>
      </w:pPr>
      <w:r>
        <w:t xml:space="preserve">SG&amp;A plus depreciation rose</w:t>
      </w:r>
      <w:r>
        <w:t xml:space="preserve"> </w:t>
      </w:r>
      <w:r>
        <w:rPr>
          <w:b/>
          <w:bCs/>
        </w:rPr>
        <w:t xml:space="preserve">6.1%</w:t>
      </w:r>
    </w:p>
    <w:p>
      <w:pPr>
        <w:pStyle w:val="Compact"/>
        <w:numPr>
          <w:ilvl w:val="0"/>
          <w:numId w:val="1007"/>
        </w:numPr>
      </w:pPr>
      <w:r>
        <w:t xml:space="preserve">The expense ratio increased</w:t>
      </w:r>
      <w:r>
        <w:t xml:space="preserve"> </w:t>
      </w:r>
      <w:r>
        <w:rPr>
          <w:b/>
          <w:bCs/>
        </w:rPr>
        <w:t xml:space="preserve">70 basis points</w:t>
      </w:r>
    </w:p>
    <w:p>
      <w:pPr>
        <w:pStyle w:val="Compact"/>
        <w:numPr>
          <w:ilvl w:val="0"/>
          <w:numId w:val="1007"/>
        </w:numPr>
      </w:pPr>
      <w:r>
        <w:t xml:space="preserve">Operating margin declined from</w:t>
      </w:r>
      <w:r>
        <w:t xml:space="preserve"> </w:t>
      </w:r>
      <w:r>
        <w:rPr>
          <w:b/>
          <w:bCs/>
        </w:rPr>
        <w:t xml:space="preserve">7.2% to 6.5%</w:t>
      </w:r>
    </w:p>
    <w:p>
      <w:pPr>
        <w:pStyle w:val="Compact"/>
        <w:numPr>
          <w:ilvl w:val="0"/>
          <w:numId w:val="1007"/>
        </w:numPr>
      </w:pPr>
      <w:r>
        <w:t xml:space="preserve">Operating income fell</w:t>
      </w:r>
      <w:r>
        <w:t xml:space="preserve"> </w:t>
      </w:r>
      <w:r>
        <w:rPr>
          <w:b/>
          <w:bCs/>
        </w:rPr>
        <w:t xml:space="preserve">6.3%</w:t>
      </w:r>
    </w:p>
    <w:p>
      <w:pPr>
        <w:pStyle w:val="FirstParagraph"/>
      </w:pPr>
      <w:r>
        <w:t xml:space="preserve">Management has identified roughly</w:t>
      </w:r>
      <w:r>
        <w:t xml:space="preserve"> </w:t>
      </w:r>
      <w:r>
        <w:rPr>
          <w:b/>
          <w:bCs/>
        </w:rPr>
        <w:t xml:space="preserve">2% comparable-sales growth</w:t>
      </w:r>
      <w:r>
        <w:t xml:space="preserve"> </w:t>
      </w:r>
      <w:r>
        <w:t xml:space="preserve">as the level needed to leverage fixed expenses. Therefore, a Q2 comp around the current 1% consensus could still produce expense-rate pressure even if revenue and EPS meet expectations.</w:t>
      </w:r>
    </w:p>
    <w:p>
      <w:pPr>
        <w:pStyle w:val="BodyText"/>
      </w:pPr>
      <w:r>
        <w:t xml:space="preserve">The Q2 margin discussion should focus on:</w:t>
      </w:r>
    </w:p>
    <w:p>
      <w:pPr>
        <w:pStyle w:val="Compact"/>
        <w:numPr>
          <w:ilvl w:val="0"/>
          <w:numId w:val="1008"/>
        </w:numPr>
      </w:pPr>
      <w:r>
        <w:t xml:space="preserve">Tariff-related product costs</w:t>
      </w:r>
    </w:p>
    <w:p>
      <w:pPr>
        <w:pStyle w:val="Compact"/>
        <w:numPr>
          <w:ilvl w:val="0"/>
          <w:numId w:val="1008"/>
        </w:numPr>
      </w:pPr>
      <w:r>
        <w:t xml:space="preserve">Fuel and freight expense</w:t>
      </w:r>
    </w:p>
    <w:p>
      <w:pPr>
        <w:pStyle w:val="Compact"/>
        <w:numPr>
          <w:ilvl w:val="0"/>
          <w:numId w:val="1008"/>
        </w:numPr>
      </w:pPr>
      <w:r>
        <w:t xml:space="preserve">Price elasticity</w:t>
      </w:r>
    </w:p>
    <w:p>
      <w:pPr>
        <w:pStyle w:val="Compact"/>
        <w:numPr>
          <w:ilvl w:val="0"/>
          <w:numId w:val="1008"/>
        </w:numPr>
      </w:pPr>
      <w:r>
        <w:t xml:space="preserve">Digital and Final Mile fulfillment costs</w:t>
      </w:r>
    </w:p>
    <w:p>
      <w:pPr>
        <w:pStyle w:val="Compact"/>
        <w:numPr>
          <w:ilvl w:val="0"/>
          <w:numId w:val="1008"/>
        </w:numPr>
      </w:pPr>
      <w:r>
        <w:t xml:space="preserve">Expenses from rapid store growth</w:t>
      </w:r>
    </w:p>
    <w:p>
      <w:pPr>
        <w:pStyle w:val="Compact"/>
        <w:numPr>
          <w:ilvl w:val="0"/>
          <w:numId w:val="1008"/>
        </w:numPr>
      </w:pPr>
      <w:r>
        <w:t xml:space="preserve">Productivity initiatives</w:t>
      </w:r>
    </w:p>
    <w:p>
      <w:pPr>
        <w:pStyle w:val="Compact"/>
        <w:numPr>
          <w:ilvl w:val="0"/>
          <w:numId w:val="1008"/>
        </w:numPr>
      </w:pPr>
      <w:r>
        <w:t xml:space="preserve">Incentive compensation</w:t>
      </w:r>
    </w:p>
    <w:p>
      <w:pPr>
        <w:pStyle w:val="Compact"/>
        <w:numPr>
          <w:ilvl w:val="0"/>
          <w:numId w:val="1008"/>
        </w:numPr>
      </w:pPr>
      <w:r>
        <w:t xml:space="preserve">Investment in localization, direct sales and pet</w:t>
      </w:r>
    </w:p>
    <w:p>
      <w:pPr>
        <w:pStyle w:val="FirstParagraph"/>
      </w:pPr>
      <w:r>
        <w:t xml:space="preserve">The best result would be stable-to-higher gross margin plus visibly better SG&amp;A leverage. A headline EPS beat produced largely through taxes or share repurchases would be lower quality.</w:t>
      </w:r>
    </w:p>
    <w:p>
      <w:r>
        <w:pict>
          <v:rect style="width:0;height:1.5pt" o:hralign="center" o:hrstd="t" o:hr="t"/>
        </w:pict>
      </w:r>
    </w:p>
    <w:bookmarkEnd w:id="16"/>
    <w:bookmarkStart w:id="18" w:name="X3ecdcde3338869d01a01af02080f277d3fd99c6"/>
    <w:p>
      <w:pPr>
        <w:pStyle w:val="Heading3"/>
      </w:pPr>
      <w:r>
        <w:t xml:space="preserve">5. Full-year guidance is the main stock catalyst</w:t>
      </w:r>
    </w:p>
    <w:p>
      <w:pPr>
        <w:pStyle w:val="FirstParagraph"/>
      </w:pPr>
      <w:r>
        <w:t xml:space="preserve">The current guidance midpoint is</w:t>
      </w:r>
      <w:r>
        <w:t xml:space="preserve"> </w:t>
      </w:r>
      <m:oMath>
        <m:r>
          <m:t>2.18</m:t>
        </m:r>
        <m:r>
          <m:t>p</m:t>
        </m:r>
        <m:r>
          <m:t>e</m:t>
        </m:r>
        <m:r>
          <m:t>r</m:t>
        </m:r>
        <m:r>
          <m:t>s</m:t>
        </m:r>
        <m:r>
          <m:t>h</m:t>
        </m:r>
        <m:r>
          <m:t>a</m:t>
        </m:r>
        <m:r>
          <m:t>r</m:t>
        </m:r>
        <m:r>
          <m:t>e</m:t>
        </m:r>
        <m:r>
          <m:rPr>
            <m:sty m:val="p"/>
          </m:rPr>
          <m:t>*</m:t>
        </m:r>
        <m:r>
          <m:rPr>
            <m:sty m:val="p"/>
          </m:rPr>
          <m:t>*</m:t>
        </m:r>
        <m:r>
          <m:rPr>
            <m:sty m:val="p"/>
          </m:rPr>
          <m:t>,</m:t>
        </m:r>
        <m:r>
          <m:t>c</m:t>
        </m:r>
        <m:r>
          <m:t>o</m:t>
        </m:r>
        <m:r>
          <m:t>m</m:t>
        </m:r>
        <m:r>
          <m:t>p</m:t>
        </m:r>
        <m:r>
          <m:t>a</m:t>
        </m:r>
        <m:r>
          <m:t>r</m:t>
        </m:r>
        <m:r>
          <m:t>e</m:t>
        </m:r>
        <m:r>
          <m:t>d</m:t>
        </m:r>
        <m:r>
          <m:t>w</m:t>
        </m:r>
        <m:r>
          <m:t>i</m:t>
        </m:r>
        <m:r>
          <m:t>t</m:t>
        </m:r>
        <m:r>
          <m:t>h</m:t>
        </m:r>
        <m:r>
          <m:t>a</m:t>
        </m:r>
        <m:r>
          <m:t>c</m:t>
        </m:r>
        <m:r>
          <m:t>o</m:t>
        </m:r>
        <m:r>
          <m:t>n</m:t>
        </m:r>
        <m:r>
          <m:t>s</m:t>
        </m:r>
        <m:r>
          <m:t>e</m:t>
        </m:r>
        <m:r>
          <m:t>n</m:t>
        </m:r>
        <m:r>
          <m:t>s</m:t>
        </m:r>
        <m:r>
          <m:t>u</m:t>
        </m:r>
        <m:r>
          <m:t>s</m:t>
        </m:r>
        <m:r>
          <m:t>e</m:t>
        </m:r>
        <m:r>
          <m:t>s</m:t>
        </m:r>
        <m:r>
          <m:t>t</m:t>
        </m:r>
        <m:r>
          <m:t>i</m:t>
        </m:r>
        <m:r>
          <m:t>m</m:t>
        </m:r>
        <m:r>
          <m:t>a</m:t>
        </m:r>
        <m:r>
          <m:t>t</m:t>
        </m:r>
        <m:r>
          <m:t>e</m:t>
        </m:r>
        <m:r>
          <m:t>a</m:t>
        </m:r>
        <m:r>
          <m:t>r</m:t>
        </m:r>
        <m:r>
          <m:t>o</m:t>
        </m:r>
        <m:r>
          <m:t>u</m:t>
        </m:r>
        <m:r>
          <m:t>n</m:t>
        </m:r>
        <m:r>
          <m:t>d</m:t>
        </m:r>
        <m:r>
          <m:rPr>
            <m:sty m:val="p"/>
          </m:rPr>
          <m:t>*</m:t>
        </m:r>
        <m:r>
          <m:rPr>
            <m:sty m:val="p"/>
          </m:rPr>
          <m:t>*</m:t>
        </m:r>
      </m:oMath>
      <w:r>
        <w:rPr>
          <w:b/>
          <w:bCs/>
        </w:rPr>
        <w:t xml:space="preserve">2.08</w:t>
      </w:r>
      <w:r>
        <w:t xml:space="preserve">. With Q1 EPS of $0.31 and Q2 consensus around</w:t>
      </w:r>
      <w:r>
        <w:t xml:space="preserve"> </w:t>
      </w:r>
      <m:oMath>
        <m:r>
          <m:t>0.83</m:t>
        </m:r>
        <m:r>
          <m:rPr>
            <m:sty m:val="p"/>
          </m:rPr>
          <m:t>–</m:t>
        </m:r>
      </m:oMath>
      <w:r>
        <w:t xml:space="preserve">0.85, TSCO would have to earn approximately</w:t>
      </w:r>
      <w:r>
        <w:t xml:space="preserve"> </w:t>
      </w:r>
      <m:oMath>
        <m:r>
          <m:t>1.02</m:t>
        </m:r>
        <m:r>
          <m:rPr>
            <m:sty m:val="p"/>
          </m:rPr>
          <m:t>–</m:t>
        </m:r>
      </m:oMath>
      <w:r>
        <w:rPr>
          <w:b/>
          <w:bCs/>
        </w:rPr>
        <w:t xml:space="preserve">1.04 in the second half</w:t>
      </w:r>
      <w:r>
        <w:t xml:space="preserve"> </w:t>
      </w:r>
      <w:r>
        <w:t xml:space="preserve">merely to reach the low end of current guidance.</w:t>
      </w:r>
    </w:p>
    <w:p>
      <w:pPr>
        <w:pStyle w:val="BodyText"/>
      </w:pPr>
      <w:r>
        <w:t xml:space="preserve">Management previously expected:</w:t>
      </w:r>
    </w:p>
    <w:p>
      <w:pPr>
        <w:pStyle w:val="Compact"/>
        <w:numPr>
          <w:ilvl w:val="0"/>
          <w:numId w:val="1009"/>
        </w:numPr>
      </w:pPr>
      <w:r>
        <w:t xml:space="preserve">Better gross-margin comparisons in the second half</w:t>
      </w:r>
    </w:p>
    <w:p>
      <w:pPr>
        <w:pStyle w:val="Compact"/>
        <w:numPr>
          <w:ilvl w:val="0"/>
          <w:numId w:val="1009"/>
        </w:numPr>
      </w:pPr>
      <w:r>
        <w:t xml:space="preserve">Less pressure from cycling prior strategic investments</w:t>
      </w:r>
    </w:p>
    <w:p>
      <w:pPr>
        <w:pStyle w:val="Compact"/>
        <w:numPr>
          <w:ilvl w:val="0"/>
          <w:numId w:val="1009"/>
        </w:numPr>
      </w:pPr>
      <w:r>
        <w:t xml:space="preserve">Stronger EPS growth in Q2 and Q4</w:t>
      </w:r>
    </w:p>
    <w:p>
      <w:pPr>
        <w:pStyle w:val="Compact"/>
        <w:numPr>
          <w:ilvl w:val="0"/>
          <w:numId w:val="1009"/>
        </w:numPr>
      </w:pPr>
      <w:r>
        <w:t xml:space="preserve">Comp growth of</w:t>
      </w:r>
      <w:r>
        <w:t xml:space="preserve"> </w:t>
      </w:r>
      <w:r>
        <w:rPr>
          <w:b/>
          <w:bCs/>
        </w:rPr>
        <w:t xml:space="preserve">1%–3%</w:t>
      </w:r>
      <w:r>
        <w:t xml:space="preserve"> </w:t>
      </w:r>
      <w:r>
        <w:t xml:space="preserve">in each remaining quarter</w:t>
      </w:r>
    </w:p>
    <w:p>
      <w:pPr>
        <w:pStyle w:val="Compact"/>
        <w:numPr>
          <w:ilvl w:val="0"/>
          <w:numId w:val="1009"/>
        </w:numPr>
      </w:pPr>
      <w:r>
        <w:t xml:space="preserve">Around $10 million of expense associated with its eleventh distribution center, mostly in the second half</w:t>
      </w:r>
    </w:p>
    <w:p>
      <w:pPr>
        <w:pStyle w:val="FirstParagraph"/>
      </w:pPr>
      <w:r>
        <w:t xml:space="preserve">The market is unlikely to treat an unchanged outlook at face value unless Q2 comps and margins provide tangible support. A narrowed range with the low end preserved could be acceptable. A reduction below $2.00 would confirm the more bearish analyst thesis. TSCO’s Q1 guidance and operating results are detailed in the company’s April release. (</w:t>
      </w:r>
      <w:hyperlink r:id="rId17">
        <w:r>
          <w:rPr>
            <w:rStyle w:val="Hyperlink"/>
          </w:rPr>
          <w:t xml:space="preserve">ir.tractorsupply.com</w:t>
        </w:r>
      </w:hyperlink>
      <w:r>
        <w:t xml:space="preserve">)</w:t>
      </w:r>
    </w:p>
    <w:p>
      <w:r>
        <w:pict>
          <v:rect style="width:0;height:1.5pt" o:hralign="center" o:hrstd="t" o:hr="t"/>
        </w:pict>
      </w:r>
    </w:p>
    <w:bookmarkEnd w:id="18"/>
    <w:bookmarkEnd w:id="19"/>
    <w:bookmarkStart w:id="20" w:name="X45491438e2b03969258cd3795ea2a490cda48f8"/>
    <w:p>
      <w:pPr>
        <w:pStyle w:val="Heading2"/>
      </w:pPr>
      <w:r>
        <w:t xml:space="preserve">Inventory and cash flow deserve attention</w:t>
      </w:r>
    </w:p>
    <w:p>
      <w:pPr>
        <w:pStyle w:val="FirstParagraph"/>
      </w:pPr>
      <w:r>
        <w:t xml:space="preserve">At the end of Q1:</w:t>
      </w:r>
    </w:p>
    <w:p>
      <w:pPr>
        <w:pStyle w:val="Compact"/>
        <w:numPr>
          <w:ilvl w:val="0"/>
          <w:numId w:val="1010"/>
        </w:numPr>
      </w:pPr>
      <w:r>
        <w:t xml:space="preserve">Inventory increased approximately</w:t>
      </w:r>
      <w:r>
        <w:t xml:space="preserve"> </w:t>
      </w:r>
      <w:r>
        <w:rPr>
          <w:b/>
          <w:bCs/>
        </w:rPr>
        <w:t xml:space="preserve">11.5% year over year</w:t>
      </w:r>
    </w:p>
    <w:p>
      <w:pPr>
        <w:pStyle w:val="Compact"/>
        <w:numPr>
          <w:ilvl w:val="0"/>
          <w:numId w:val="1010"/>
        </w:numPr>
      </w:pPr>
      <w:r>
        <w:t xml:space="preserve">Average inventory per store rose approximately</w:t>
      </w:r>
      <w:r>
        <w:t xml:space="preserve"> </w:t>
      </w:r>
      <w:r>
        <w:rPr>
          <w:b/>
          <w:bCs/>
        </w:rPr>
        <w:t xml:space="preserve">6.3%</w:t>
      </w:r>
    </w:p>
    <w:p>
      <w:pPr>
        <w:pStyle w:val="Compact"/>
        <w:numPr>
          <w:ilvl w:val="0"/>
          <w:numId w:val="1010"/>
        </w:numPr>
      </w:pPr>
      <w:r>
        <w:t xml:space="preserve">Inventory turns declined to</w:t>
      </w:r>
      <w:r>
        <w:t xml:space="preserve"> </w:t>
      </w:r>
      <w:r>
        <w:rPr>
          <w:b/>
          <w:bCs/>
        </w:rPr>
        <w:t xml:space="preserve">2.92 from 3.00</w:t>
      </w:r>
    </w:p>
    <w:p>
      <w:pPr>
        <w:pStyle w:val="Compact"/>
        <w:numPr>
          <w:ilvl w:val="0"/>
          <w:numId w:val="1010"/>
        </w:numPr>
      </w:pPr>
      <w:r>
        <w:t xml:space="preserve">Operating cash flow fell to</w:t>
      </w:r>
      <w:r>
        <w:t xml:space="preserve"> </w:t>
      </w:r>
      <w:r>
        <w:rPr>
          <w:b/>
          <w:bCs/>
        </w:rPr>
        <w:t xml:space="preserve">$91 million from $217 million</w:t>
      </w:r>
    </w:p>
    <w:p>
      <w:pPr>
        <w:pStyle w:val="Compact"/>
        <w:numPr>
          <w:ilvl w:val="0"/>
          <w:numId w:val="1010"/>
        </w:numPr>
      </w:pPr>
      <w:r>
        <w:t xml:space="preserve">Capital expenditures increased to</w:t>
      </w:r>
      <w:r>
        <w:t xml:space="preserve"> </w:t>
      </w:r>
      <w:r>
        <w:rPr>
          <w:b/>
          <w:bCs/>
        </w:rPr>
        <w:t xml:space="preserve">$203 million from $141 million</w:t>
      </w:r>
    </w:p>
    <w:p>
      <w:pPr>
        <w:pStyle w:val="FirstParagraph"/>
      </w:pPr>
      <w:r>
        <w:t xml:space="preserve">Management attributed much of the inventory increase to inflation, tariff costs, new stores and the timing of spring purchases. That explanation is reasonable, but Q2 should show whether seasonal inventory converted into sales and cash.</w:t>
      </w:r>
    </w:p>
    <w:p>
      <w:pPr>
        <w:pStyle w:val="BodyText"/>
      </w:pPr>
      <w:r>
        <w:t xml:space="preserve">An investor-friendly result would include:</w:t>
      </w:r>
    </w:p>
    <w:p>
      <w:pPr>
        <w:pStyle w:val="Compact"/>
        <w:numPr>
          <w:ilvl w:val="0"/>
          <w:numId w:val="1011"/>
        </w:numPr>
      </w:pPr>
      <w:r>
        <w:t xml:space="preserve">Inventory growth moving closer to sales growth</w:t>
      </w:r>
    </w:p>
    <w:p>
      <w:pPr>
        <w:pStyle w:val="Compact"/>
        <w:numPr>
          <w:ilvl w:val="0"/>
          <w:numId w:val="1011"/>
        </w:numPr>
      </w:pPr>
      <w:r>
        <w:t xml:space="preserve">Healthy seasonal sell-through</w:t>
      </w:r>
    </w:p>
    <w:p>
      <w:pPr>
        <w:pStyle w:val="Compact"/>
        <w:numPr>
          <w:ilvl w:val="0"/>
          <w:numId w:val="1011"/>
        </w:numPr>
      </w:pPr>
      <w:r>
        <w:t xml:space="preserve">No material increase in clearance activity</w:t>
      </w:r>
    </w:p>
    <w:p>
      <w:pPr>
        <w:pStyle w:val="Compact"/>
        <w:numPr>
          <w:ilvl w:val="0"/>
          <w:numId w:val="1011"/>
        </w:numPr>
      </w:pPr>
      <w:r>
        <w:t xml:space="preserve">Improved year-to-date operating cash flow</w:t>
      </w:r>
    </w:p>
    <w:p>
      <w:pPr>
        <w:pStyle w:val="FirstParagraph"/>
      </w:pPr>
      <w:r>
        <w:t xml:space="preserve">If inventory remains elevated while comps weaken, the risk shifts from a temporary working-capital issue to future markdown and margin pressure.</w:t>
      </w:r>
    </w:p>
    <w:p>
      <w:r>
        <w:pict>
          <v:rect style="width:0;height:1.5pt" o:hralign="center" o:hrstd="t" o:hr="t"/>
        </w:pict>
      </w:r>
    </w:p>
    <w:bookmarkEnd w:id="20"/>
    <w:bookmarkStart w:id="21" w:name="Xeb0cd42561f94329a4a1d8ab774680e20b87c53"/>
    <w:p>
      <w:pPr>
        <w:pStyle w:val="Heading2"/>
      </w:pPr>
      <w:r>
        <w:t xml:space="preserve">The long-term positives have not disappeared</w:t>
      </w:r>
    </w:p>
    <w:p>
      <w:pPr>
        <w:pStyle w:val="FirstParagraph"/>
      </w:pPr>
      <w:r>
        <w:t xml:space="preserve">The earnings debate is currently dominated by pet and near-term consumer weakness, but TSCO still has several structural growth levers:</w:t>
      </w:r>
    </w:p>
    <w:p>
      <w:pPr>
        <w:pStyle w:val="Compact"/>
        <w:numPr>
          <w:ilvl w:val="0"/>
          <w:numId w:val="1012"/>
        </w:numPr>
      </w:pPr>
      <w:r>
        <w:t xml:space="preserve">Rapid new-store development, with 40 Tractor Supply openings in Q1</w:t>
      </w:r>
    </w:p>
    <w:p>
      <w:pPr>
        <w:pStyle w:val="Compact"/>
        <w:numPr>
          <w:ilvl w:val="0"/>
          <w:numId w:val="1012"/>
        </w:numPr>
      </w:pPr>
      <w:r>
        <w:t xml:space="preserve">New-store productivity running around</w:t>
      </w:r>
      <w:r>
        <w:t xml:space="preserve"> </w:t>
      </w:r>
      <w:r>
        <w:rPr>
          <w:b/>
          <w:bCs/>
        </w:rPr>
        <w:t xml:space="preserve">65%–70%</w:t>
      </w:r>
    </w:p>
    <w:p>
      <w:pPr>
        <w:pStyle w:val="Compact"/>
        <w:numPr>
          <w:ilvl w:val="0"/>
          <w:numId w:val="1012"/>
        </w:numPr>
      </w:pPr>
      <w:r>
        <w:t xml:space="preserve">Limited cannibalization</w:t>
      </w:r>
    </w:p>
    <w:p>
      <w:pPr>
        <w:pStyle w:val="Compact"/>
        <w:numPr>
          <w:ilvl w:val="0"/>
          <w:numId w:val="1012"/>
        </w:numPr>
      </w:pPr>
      <w:r>
        <w:t xml:space="preserve">Strong double-digit digital growth</w:t>
      </w:r>
    </w:p>
    <w:p>
      <w:pPr>
        <w:pStyle w:val="Compact"/>
        <w:numPr>
          <w:ilvl w:val="0"/>
          <w:numId w:val="1012"/>
        </w:numPr>
      </w:pPr>
      <w:r>
        <w:t xml:space="preserve">Localization outperforming the broader Fusion store base</w:t>
      </w:r>
    </w:p>
    <w:p>
      <w:pPr>
        <w:pStyle w:val="Compact"/>
        <w:numPr>
          <w:ilvl w:val="0"/>
          <w:numId w:val="1012"/>
        </w:numPr>
      </w:pPr>
      <w:r>
        <w:t xml:space="preserve">Final Mile hubs enabling large rural deliveries</w:t>
      </w:r>
    </w:p>
    <w:p>
      <w:pPr>
        <w:pStyle w:val="Compact"/>
        <w:numPr>
          <w:ilvl w:val="0"/>
          <w:numId w:val="1012"/>
        </w:numPr>
      </w:pPr>
      <w:r>
        <w:t xml:space="preserve">Direct-sales expansion</w:t>
      </w:r>
    </w:p>
    <w:p>
      <w:pPr>
        <w:pStyle w:val="Compact"/>
        <w:numPr>
          <w:ilvl w:val="0"/>
          <w:numId w:val="1012"/>
        </w:numPr>
      </w:pPr>
      <w:r>
        <w:t xml:space="preserve">Increasing owned and exclusive-brand penetration</w:t>
      </w:r>
    </w:p>
    <w:p>
      <w:pPr>
        <w:pStyle w:val="Compact"/>
        <w:numPr>
          <w:ilvl w:val="0"/>
          <w:numId w:val="1012"/>
        </w:numPr>
      </w:pPr>
      <w:r>
        <w:t xml:space="preserve">Continued rural and exurban market-share gains</w:t>
      </w:r>
    </w:p>
    <w:p>
      <w:pPr>
        <w:pStyle w:val="FirstParagraph"/>
      </w:pPr>
      <w:r>
        <w:t xml:space="preserve">These initiatives explain why management argues TSCO is not structurally limited to a lower comp-growth rate. The problem is that they are currently adding expense faster than same-store sales are growing. Q2 needs to demonstrate that at least some of these investments are beginning to generate operating leverage.</w:t>
      </w:r>
    </w:p>
    <w:p>
      <w:r>
        <w:pict>
          <v:rect style="width:0;height:1.5pt" o:hralign="center" o:hrstd="t" o:hr="t"/>
        </w:pict>
      </w:r>
    </w:p>
    <w:bookmarkEnd w:id="21"/>
    <w:bookmarkStart w:id="22" w:name="valuation-and-expectations"/>
    <w:p>
      <w:pPr>
        <w:pStyle w:val="Heading2"/>
      </w:pPr>
      <w:r>
        <w:t xml:space="preserve">Valuation and expectations</w:t>
      </w:r>
    </w:p>
    <w:p>
      <w:pPr>
        <w:pStyle w:val="FirstParagraph"/>
      </w:pPr>
      <w:r>
        <w:t xml:space="preserve">TSCO closed July 22 at approximately</w:t>
      </w:r>
      <w:r>
        <w:t xml:space="preserve"> </w:t>
      </w:r>
      <w:r>
        <w:rPr>
          <w:b/>
          <w:bCs/>
        </w:rPr>
        <w:t xml:space="preserve">$29.38</w:t>
      </w:r>
      <w:r>
        <w:t xml:space="preserve">, down roughly</w:t>
      </w:r>
      <w:r>
        <w:t xml:space="preserve"> </w:t>
      </w:r>
      <w:r>
        <w:rPr>
          <w:b/>
          <w:bCs/>
        </w:rPr>
        <w:t xml:space="preserve">34%</w:t>
      </w:r>
      <w:r>
        <w:t xml:space="preserve"> </w:t>
      </w:r>
      <w:r>
        <w:t xml:space="preserve">from its April 20 close immediately before Q1 earnings. At that price, the shares trade at approximately:</w:t>
      </w:r>
    </w:p>
    <w:p>
      <w:pPr>
        <w:pStyle w:val="Compact"/>
        <w:numPr>
          <w:ilvl w:val="0"/>
          <w:numId w:val="1013"/>
        </w:numPr>
      </w:pPr>
      <w:r>
        <w:rPr>
          <w:b/>
          <w:bCs/>
        </w:rPr>
        <w:t xml:space="preserve">13.2–13.8 times</w:t>
      </w:r>
      <w:r>
        <w:t xml:space="preserve"> </w:t>
      </w:r>
      <w:r>
        <w:t xml:space="preserve">company EPS guidance</w:t>
      </w:r>
    </w:p>
    <w:p>
      <w:pPr>
        <w:pStyle w:val="Compact"/>
        <w:numPr>
          <w:ilvl w:val="0"/>
          <w:numId w:val="1013"/>
        </w:numPr>
      </w:pPr>
      <w:r>
        <w:t xml:space="preserve">Roughly</w:t>
      </w:r>
      <w:r>
        <w:t xml:space="preserve"> </w:t>
      </w:r>
      <w:r>
        <w:rPr>
          <w:b/>
          <w:bCs/>
        </w:rPr>
        <w:t xml:space="preserve">14 times</w:t>
      </w:r>
      <w:r>
        <w:t xml:space="preserve"> </w:t>
      </w:r>
      <w:r>
        <w:t xml:space="preserve">the current full-year consensus</w:t>
      </w:r>
    </w:p>
    <w:p>
      <w:pPr>
        <w:pStyle w:val="FirstParagraph"/>
      </w:pPr>
      <w:r>
        <w:t xml:space="preserve">That is a much less demanding valuation than TSCO carried historically, but it also reflects a major loss of confidence in the earnings outlook. The stock does not necessarily need a major beat to rally; it may only need evidence that estimates have stopped falling.</w:t>
      </w:r>
    </w:p>
    <w:p>
      <w:pPr>
        <w:pStyle w:val="BodyText"/>
      </w:pPr>
      <w:r>
        <w:t xml:space="preserve">Conversely, a low valuation offers limited protection if management cuts EPS toward $1.90 and indicates that pet and transaction weakness will extend into 2027.</w:t>
      </w:r>
    </w:p>
    <w:p>
      <w:r>
        <w:pict>
          <v:rect style="width:0;height:1.5pt" o:hralign="center" o:hrstd="t" o:hr="t"/>
        </w:pict>
      </w:r>
    </w:p>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14"/>
        </w:numPr>
      </w:pPr>
      <w:r>
        <w:t xml:space="preserve">Comparable sales of</w:t>
      </w:r>
      <w:r>
        <w:t xml:space="preserve"> </w:t>
      </w:r>
      <w:r>
        <w:rPr>
          <w:b/>
          <w:bCs/>
        </w:rPr>
        <w:t xml:space="preserve">1% or better</w:t>
      </w:r>
    </w:p>
    <w:p>
      <w:pPr>
        <w:pStyle w:val="Compact"/>
        <w:numPr>
          <w:ilvl w:val="0"/>
          <w:numId w:val="1014"/>
        </w:numPr>
      </w:pPr>
      <w:r>
        <w:t xml:space="preserve">Transactions improve toward flat or positive</w:t>
      </w:r>
    </w:p>
    <w:p>
      <w:pPr>
        <w:pStyle w:val="Compact"/>
        <w:numPr>
          <w:ilvl w:val="0"/>
          <w:numId w:val="1014"/>
        </w:numPr>
      </w:pPr>
      <w:r>
        <w:t xml:space="preserve">EPS of</w:t>
      </w:r>
      <w:r>
        <w:t xml:space="preserve"> </w:t>
      </w:r>
      <w:r>
        <w:rPr>
          <w:b/>
          <w:bCs/>
        </w:rPr>
        <w:t xml:space="preserve">$0.85 or above</w:t>
      </w:r>
    </w:p>
    <w:p>
      <w:pPr>
        <w:pStyle w:val="Compact"/>
        <w:numPr>
          <w:ilvl w:val="0"/>
          <w:numId w:val="1014"/>
        </w:numPr>
      </w:pPr>
      <w:r>
        <w:t xml:space="preserve">Pet stabilizes and early assortment initiatives show traction</w:t>
      </w:r>
    </w:p>
    <w:p>
      <w:pPr>
        <w:pStyle w:val="Compact"/>
        <w:numPr>
          <w:ilvl w:val="0"/>
          <w:numId w:val="1014"/>
        </w:numPr>
      </w:pPr>
      <w:r>
        <w:t xml:space="preserve">Seasonal categories deliver healthy sell-through</w:t>
      </w:r>
    </w:p>
    <w:p>
      <w:pPr>
        <w:pStyle w:val="Compact"/>
        <w:numPr>
          <w:ilvl w:val="0"/>
          <w:numId w:val="1014"/>
        </w:numPr>
      </w:pPr>
      <w:r>
        <w:t xml:space="preserve">Gross margin holds despite tariffs and freight</w:t>
      </w:r>
    </w:p>
    <w:p>
      <w:pPr>
        <w:pStyle w:val="Compact"/>
        <w:numPr>
          <w:ilvl w:val="0"/>
          <w:numId w:val="1014"/>
        </w:numPr>
      </w:pPr>
      <w:r>
        <w:t xml:space="preserve">Full-year guidance is maintained or only modestly narrowed</w:t>
      </w:r>
    </w:p>
    <w:p>
      <w:pPr>
        <w:pStyle w:val="FirstParagraph"/>
      </w:pPr>
      <w:r>
        <w:rPr>
          <w:b/>
          <w:bCs/>
        </w:rPr>
        <w:t xml:space="preserve">Likely interpretation:</w:t>
      </w:r>
      <w:r>
        <w:t xml:space="preserve"> </w:t>
      </w:r>
      <w:r>
        <w:t xml:space="preserve">Q1 represented the low point, and TSCO’s depressed valuation could support a meaningful relief rally.</w:t>
      </w:r>
    </w:p>
    <w:bookmarkEnd w:id="23"/>
    <w:bookmarkStart w:id="24" w:name="base-case"/>
    <w:p>
      <w:pPr>
        <w:pStyle w:val="Heading3"/>
      </w:pPr>
      <w:r>
        <w:t xml:space="preserve">Base case</w:t>
      </w:r>
    </w:p>
    <w:p>
      <w:pPr>
        <w:pStyle w:val="Compact"/>
        <w:numPr>
          <w:ilvl w:val="0"/>
          <w:numId w:val="1015"/>
        </w:numPr>
      </w:pPr>
      <w:r>
        <w:t xml:space="preserve">Comparable sales between</w:t>
      </w:r>
      <w:r>
        <w:t xml:space="preserve"> </w:t>
      </w:r>
      <w:r>
        <w:rPr>
          <w:b/>
          <w:bCs/>
        </w:rPr>
        <w:t xml:space="preserve">0% and 1%</w:t>
      </w:r>
    </w:p>
    <w:p>
      <w:pPr>
        <w:pStyle w:val="Compact"/>
        <w:numPr>
          <w:ilvl w:val="0"/>
          <w:numId w:val="1015"/>
        </w:numPr>
      </w:pPr>
      <w:r>
        <w:t xml:space="preserve">EPS around</w:t>
      </w:r>
      <w:r>
        <w:t xml:space="preserve"> </w:t>
      </w:r>
      <m:oMath>
        <m:r>
          <m:t>0.82</m:t>
        </m:r>
        <m:r>
          <m:rPr>
            <m:sty m:val="p"/>
          </m:rPr>
          <m:t>–</m:t>
        </m:r>
      </m:oMath>
      <w:r>
        <w:rPr>
          <w:b/>
          <w:bCs/>
        </w:rPr>
        <w:t xml:space="preserve">0.85</w:t>
      </w:r>
    </w:p>
    <w:p>
      <w:pPr>
        <w:pStyle w:val="Compact"/>
        <w:numPr>
          <w:ilvl w:val="0"/>
          <w:numId w:val="1015"/>
        </w:numPr>
      </w:pPr>
      <w:r>
        <w:t xml:space="preserve">Pet remains weak but does not deteriorate materially</w:t>
      </w:r>
    </w:p>
    <w:p>
      <w:pPr>
        <w:pStyle w:val="Compact"/>
        <w:numPr>
          <w:ilvl w:val="0"/>
          <w:numId w:val="1015"/>
        </w:numPr>
      </w:pPr>
      <w:r>
        <w:t xml:space="preserve">Gross margin is reasonable, with continued SG&amp;A deleverage</w:t>
      </w:r>
    </w:p>
    <w:p>
      <w:pPr>
        <w:pStyle w:val="Compact"/>
        <w:numPr>
          <w:ilvl w:val="0"/>
          <w:numId w:val="1015"/>
        </w:numPr>
      </w:pPr>
      <w:r>
        <w:t xml:space="preserve">Guidance is narrowed or the low end is reduced modestly</w:t>
      </w:r>
    </w:p>
    <w:p>
      <w:pPr>
        <w:pStyle w:val="FirstParagraph"/>
      </w:pPr>
      <w:r>
        <w:rPr>
          <w:b/>
          <w:bCs/>
        </w:rPr>
        <w:t xml:space="preserve">Likely interpretation:</w:t>
      </w:r>
      <w:r>
        <w:t xml:space="preserve"> </w:t>
      </w:r>
      <w:r>
        <w:t xml:space="preserve">The core business remains resilient, but the earnings recovery takes longer. Stock reaction would depend heavily on second-half commentary.</w:t>
      </w:r>
    </w:p>
    <w:bookmarkEnd w:id="24"/>
    <w:bookmarkStart w:id="25" w:name="bear-case"/>
    <w:p>
      <w:pPr>
        <w:pStyle w:val="Heading3"/>
      </w:pPr>
      <w:r>
        <w:t xml:space="preserve">Bear case</w:t>
      </w:r>
    </w:p>
    <w:p>
      <w:pPr>
        <w:pStyle w:val="Compact"/>
        <w:numPr>
          <w:ilvl w:val="0"/>
          <w:numId w:val="1016"/>
        </w:numPr>
      </w:pPr>
      <w:r>
        <w:t xml:space="preserve">Negative comparable sales</w:t>
      </w:r>
    </w:p>
    <w:p>
      <w:pPr>
        <w:pStyle w:val="Compact"/>
        <w:numPr>
          <w:ilvl w:val="0"/>
          <w:numId w:val="1016"/>
        </w:numPr>
      </w:pPr>
      <w:r>
        <w:t xml:space="preserve">Continued transaction declines outside companion animal</w:t>
      </w:r>
    </w:p>
    <w:p>
      <w:pPr>
        <w:pStyle w:val="Compact"/>
        <w:numPr>
          <w:ilvl w:val="0"/>
          <w:numId w:val="1016"/>
        </w:numPr>
      </w:pPr>
      <w:r>
        <w:t xml:space="preserve">EPS below approximately</w:t>
      </w:r>
      <w:r>
        <w:t xml:space="preserve"> </w:t>
      </w:r>
      <w:r>
        <w:rPr>
          <w:b/>
          <w:bCs/>
        </w:rPr>
        <w:t xml:space="preserve">$0.80</w:t>
      </w:r>
    </w:p>
    <w:p>
      <w:pPr>
        <w:pStyle w:val="Compact"/>
        <w:numPr>
          <w:ilvl w:val="0"/>
          <w:numId w:val="1016"/>
        </w:numPr>
      </w:pPr>
      <w:r>
        <w:t xml:space="preserve">Weak seasonal sell-through or elevated promotions</w:t>
      </w:r>
    </w:p>
    <w:p>
      <w:pPr>
        <w:pStyle w:val="Compact"/>
        <w:numPr>
          <w:ilvl w:val="0"/>
          <w:numId w:val="1016"/>
        </w:numPr>
      </w:pPr>
      <w:r>
        <w:t xml:space="preserve">Tariff, freight and digital costs pressure gross margin</w:t>
      </w:r>
    </w:p>
    <w:p>
      <w:pPr>
        <w:pStyle w:val="Compact"/>
        <w:numPr>
          <w:ilvl w:val="0"/>
          <w:numId w:val="1016"/>
        </w:numPr>
      </w:pPr>
      <w:r>
        <w:t xml:space="preserve">Full-year EPS guidance falls toward</w:t>
      </w:r>
      <w:r>
        <w:t xml:space="preserve"> </w:t>
      </w:r>
      <m:oMath>
        <m:r>
          <m:t>1.90</m:t>
        </m:r>
        <m:r>
          <m:rPr>
            <m:sty m:val="p"/>
          </m:rPr>
          <m:t>–</m:t>
        </m:r>
      </m:oMath>
      <w:r>
        <w:rPr>
          <w:b/>
          <w:bCs/>
        </w:rPr>
        <w:t xml:space="preserve">2.00</w:t>
      </w:r>
    </w:p>
    <w:p>
      <w:pPr>
        <w:pStyle w:val="Compact"/>
        <w:numPr>
          <w:ilvl w:val="0"/>
          <w:numId w:val="1016"/>
        </w:numPr>
      </w:pPr>
      <w:r>
        <w:t xml:space="preserve">Management delays expected pet improvement into 2027</w:t>
      </w:r>
    </w:p>
    <w:p>
      <w:pPr>
        <w:pStyle w:val="FirstParagraph"/>
      </w:pPr>
      <w:r>
        <w:rPr>
          <w:b/>
          <w:bCs/>
        </w:rPr>
        <w:t xml:space="preserve">Likely interpretation:</w:t>
      </w:r>
      <w:r>
        <w:t xml:space="preserve"> </w:t>
      </w:r>
      <w:r>
        <w:t xml:space="preserve">The issue is broader than one weak category, and consensus estimates still have further to fall.</w:t>
      </w:r>
    </w:p>
    <w:p>
      <w:r>
        <w:pict>
          <v:rect style="width:0;height:1.5pt" o:hralign="center" o:hrstd="t" o:hr="t"/>
        </w:pict>
      </w:r>
    </w:p>
    <w:bookmarkEnd w:id="25"/>
    <w:bookmarkEnd w:id="26"/>
    <w:bookmarkStart w:id="27" w:name="questions-management-needs-to-answer"/>
    <w:p>
      <w:pPr>
        <w:pStyle w:val="Heading2"/>
      </w:pPr>
      <w:r>
        <w:t xml:space="preserve">Questions management needs to answer</w:t>
      </w:r>
    </w:p>
    <w:p>
      <w:pPr>
        <w:pStyle w:val="Compact"/>
        <w:numPr>
          <w:ilvl w:val="0"/>
          <w:numId w:val="1017"/>
        </w:numPr>
      </w:pPr>
      <w:r>
        <w:rPr>
          <w:b/>
          <w:bCs/>
        </w:rPr>
        <w:t xml:space="preserve">What were Q2 comps excluding companion animal?</w:t>
      </w:r>
    </w:p>
    <w:p>
      <w:pPr>
        <w:pStyle w:val="Compact"/>
        <w:numPr>
          <w:ilvl w:val="0"/>
          <w:numId w:val="1017"/>
        </w:numPr>
      </w:pPr>
      <w:r>
        <w:rPr>
          <w:b/>
          <w:bCs/>
        </w:rPr>
        <w:t xml:space="preserve">How did transactions trend by month, and did momentum improve or weaken exiting June?</w:t>
      </w:r>
    </w:p>
    <w:p>
      <w:pPr>
        <w:pStyle w:val="Compact"/>
        <w:numPr>
          <w:ilvl w:val="0"/>
          <w:numId w:val="1017"/>
        </w:numPr>
      </w:pPr>
      <w:r>
        <w:rPr>
          <w:b/>
          <w:bCs/>
        </w:rPr>
        <w:t xml:space="preserve">Is companion animal still reducing total comps by more than 100 basis points?</w:t>
      </w:r>
    </w:p>
    <w:p>
      <w:pPr>
        <w:pStyle w:val="Compact"/>
        <w:numPr>
          <w:ilvl w:val="0"/>
          <w:numId w:val="1017"/>
        </w:numPr>
      </w:pPr>
      <w:r>
        <w:rPr>
          <w:b/>
          <w:bCs/>
        </w:rPr>
        <w:t xml:space="preserve">What measurable lift is TSCO seeing from fresh/frozen pet and expanded cat assortments?</w:t>
      </w:r>
    </w:p>
    <w:p>
      <w:pPr>
        <w:pStyle w:val="Compact"/>
        <w:numPr>
          <w:ilvl w:val="0"/>
          <w:numId w:val="1017"/>
        </w:numPr>
      </w:pPr>
      <w:r>
        <w:rPr>
          <w:b/>
          <w:bCs/>
        </w:rPr>
        <w:t xml:space="preserve">How much Q2 ticket growth came from price versus mix?</w:t>
      </w:r>
    </w:p>
    <w:p>
      <w:pPr>
        <w:pStyle w:val="Compact"/>
        <w:numPr>
          <w:ilvl w:val="0"/>
          <w:numId w:val="1017"/>
        </w:numPr>
      </w:pPr>
      <w:r>
        <w:rPr>
          <w:b/>
          <w:bCs/>
        </w:rPr>
        <w:t xml:space="preserve">Has price elasticity changed as customers face higher fuel and merchandise costs?</w:t>
      </w:r>
    </w:p>
    <w:p>
      <w:pPr>
        <w:pStyle w:val="Compact"/>
        <w:numPr>
          <w:ilvl w:val="0"/>
          <w:numId w:val="1017"/>
        </w:numPr>
      </w:pPr>
      <w:r>
        <w:rPr>
          <w:b/>
          <w:bCs/>
        </w:rPr>
        <w:t xml:space="preserve">Did spring inventory sell through at planned margins?</w:t>
      </w:r>
    </w:p>
    <w:p>
      <w:pPr>
        <w:pStyle w:val="Compact"/>
        <w:numPr>
          <w:ilvl w:val="0"/>
          <w:numId w:val="1017"/>
        </w:numPr>
      </w:pPr>
      <w:r>
        <w:rPr>
          <w:b/>
          <w:bCs/>
        </w:rPr>
        <w:t xml:space="preserve">What comp level is now required to reach the full-year operating-margin range?</w:t>
      </w:r>
    </w:p>
    <w:p>
      <w:pPr>
        <w:pStyle w:val="Compact"/>
        <w:numPr>
          <w:ilvl w:val="0"/>
          <w:numId w:val="1017"/>
        </w:numPr>
      </w:pPr>
      <w:r>
        <w:rPr>
          <w:b/>
          <w:bCs/>
        </w:rPr>
        <w:t xml:space="preserve">Are Final Mile and digital growth becoming incrementally profitable, or are they still dilutive?</w:t>
      </w:r>
    </w:p>
    <w:p>
      <w:pPr>
        <w:pStyle w:val="Compact"/>
        <w:numPr>
          <w:ilvl w:val="0"/>
          <w:numId w:val="1017"/>
        </w:numPr>
      </w:pPr>
      <w:r>
        <w:rPr>
          <w:b/>
          <w:bCs/>
        </w:rPr>
        <w:t xml:space="preserve">What assumptions underpin the second-half guidance, particularly for pet, tariffs and transactions?</w:t>
      </w:r>
    </w:p>
    <w:p>
      <w:r>
        <w:pict>
          <v:rect style="width:0;height:1.5pt" o:hralign="center" o:hrstd="t" o:hr="t"/>
        </w:pict>
      </w:r>
    </w:p>
    <w:bookmarkEnd w:id="27"/>
    <w:bookmarkStart w:id="28" w:name="bottom-line"/>
    <w:p>
      <w:pPr>
        <w:pStyle w:val="Heading2"/>
      </w:pPr>
      <w:r>
        <w:t xml:space="preserve">Bottom line</w:t>
      </w:r>
    </w:p>
    <w:p>
      <w:pPr>
        <w:pStyle w:val="FirstParagraph"/>
      </w:pPr>
      <w:r>
        <w:t xml:space="preserve">TSCO enters Q2 with a low valuation, a heavily discounted stock price and manageable quarterly expectations—but a substantial credibility gap around annual guidance.</w:t>
      </w:r>
    </w:p>
    <w:p>
      <w:pPr>
        <w:pStyle w:val="BodyText"/>
      </w:pPr>
      <w:r>
        <w:t xml:space="preserve">The most important combination would be:</w:t>
      </w:r>
    </w:p>
    <w:p>
      <w:pPr>
        <w:pStyle w:val="BlockText"/>
      </w:pPr>
      <w:r>
        <w:rPr>
          <w:b/>
          <w:bCs/>
        </w:rPr>
        <w:t xml:space="preserve">Approximately 1% or better comps, improving transactions, stable gross margin, no further deterioration in pet and a defensible full-year outlook.</w:t>
      </w:r>
    </w:p>
    <w:p>
      <w:pPr>
        <w:pStyle w:val="FirstParagraph"/>
      </w:pPr>
      <w:r>
        <w:t xml:space="preserve">A small EPS beat without healthier traffic or credible guidance would not resolve the debate. Conversely, even an in-line quarter could be constructive if management demonstrates that pet has stabilized, seasonal inventory sold through cleanly and second-half margins remain achievable.</w:t>
      </w:r>
    </w:p>
    <w:p>
      <w:pPr>
        <w:pStyle w:val="BodyText"/>
      </w:pPr>
      <w:r>
        <w:rPr>
          <w:b/>
          <w:bCs/>
        </w:rPr>
        <w:t xml:space="preserve">The key earnings-call signal is not “beat or miss.” It is whether Q2 marks the trough in operating momentum—or merely another step toward a full-year reset.</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corporate.tractorsupply.com/newsroom/news-releases/news-releases-details/2026/Tractor-Supply-Announces-Webcast-of-Second-Quarter-Earnings-Conference-Call/default.aspx?utm_source=openai" TargetMode="External" /><Relationship Type="http://schemas.openxmlformats.org/officeDocument/2006/relationships/hyperlink" Id="rId17" Target="https://ir.tractorsupply.com/newsroom/news-releases/news-releases-details/2026/Tractor-Supply-Company-Reports-First-Quarter-2026-Financial-Results-Reaffirms-Fiscal-Year-2026-Outlook/default.aspx?utm_source=openai" TargetMode="External" /><Relationship Type="http://schemas.openxmlformats.org/officeDocument/2006/relationships/hyperlink" Id="rId10" Target="https://www.investing.com/news/analyst-ratings/telsey-cuts-tractor-supply-stock-price-target-on-sales-outlook-93CH-4790386?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corporate.tractorsupply.com/newsroom/news-releases/news-releases-details/2026/Tractor-Supply-Announces-Webcast-of-Second-Quarter-Earnings-Conference-Call/default.aspx?utm_source=openai" TargetMode="External" /><Relationship Type="http://schemas.openxmlformats.org/officeDocument/2006/relationships/hyperlink" Id="rId17" Target="https://ir.tractorsupply.com/newsroom/news-releases/news-releases-details/2026/Tractor-Supply-Company-Reports-First-Quarter-2026-Financial-Results-Reaffirms-Fiscal-Year-2026-Outlook/default.aspx?utm_source=openai" TargetMode="External" /><Relationship Type="http://schemas.openxmlformats.org/officeDocument/2006/relationships/hyperlink" Id="rId10" Target="https://www.investing.com/news/analyst-ratings/telsey-cuts-tractor-supply-stock-price-target-on-sales-outlook-93CH-4790386?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2026-07-23T00:45:04Z</dcterms:created>
  <dcterms:modified xsi:type="dcterms:W3CDTF">2026-07-23T00:45:04Z</dcterms:modified>
</cp:coreProperties>
</file>

<file path=docProps/custom.xml><?xml version="1.0" encoding="utf-8"?>
<Properties xmlns="http://schemas.openxmlformats.org/officeDocument/2006/custom-properties" xmlns:vt="http://schemas.openxmlformats.org/officeDocument/2006/docPropsVTypes"/>
</file>