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f4dc568e760f9aefb0847d7b6464ca193eb1277"/>
    <w:p>
      <w:pPr>
        <w:pStyle w:val="Heading1"/>
      </w:pPr>
      <w:r>
        <w:t xml:space="preserve">Tractor Supply (NASDAQ: TSCO) — 2Q26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The event date provided is</w:t>
      </w:r>
      <w:r>
        <w:t xml:space="preserve"> </w:t>
      </w:r>
      <w:r>
        <w:rPr>
          <w:b/>
          <w:bCs/>
        </w:rPr>
        <w:t xml:space="preserve">Thursday, July 23,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therefore frames TSCO’s 2Q26 report as imminent.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TSCO enters 2Q earnings as a</w:t>
      </w:r>
      <w:r>
        <w:t xml:space="preserve"> </w:t>
      </w:r>
      <w:r>
        <w:rPr>
          <w:b/>
          <w:bCs/>
        </w:rPr>
        <w:t xml:space="preserve">show-me story</w:t>
      </w:r>
      <w:r>
        <w:t xml:space="preserve">. The first quarter demonstrated that the core rural-lifestyle model remains resilient, but it also exposed the central near-term issue: weak companion-animal demand, softer traffic, and fixed-cost deleverage can overwhelm otherwise solid performance in livestock, seasonal, digital, and new-store channels.</w:t>
      </w:r>
    </w:p>
    <w:p>
      <w:pPr>
        <w:pStyle w:val="BodyText"/>
      </w:pPr>
      <w:r>
        <w:t xml:space="preserve">The decisive question is not simply whether TSCO meets quarterly earnings expectations. It is whether management can demonstrate that: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Spring and early-summer seasonal demand accelerated enough to offset pet pressure;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Comparable-sales growth is solidly within the company’s 1%–3% full-year range;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 are holding despite fuel, freight, tariff, and new-store costs;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guidance remains credible without relying on an optimistic second-half recovery.</w:t>
      </w:r>
    </w:p>
    <w:p>
      <w:pPr>
        <w:pStyle w:val="FirstParagraph"/>
      </w:pPr>
      <w:r>
        <w:t xml:space="preserve">The stock has already reset sharply: TSCO closed at</w:t>
      </w:r>
      <w:r>
        <w:t xml:space="preserve"> </w:t>
      </w:r>
      <w:r>
        <w:rPr>
          <w:b/>
          <w:bCs/>
        </w:rPr>
        <w:t xml:space="preserve">$29.38 on July 22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35% from $45.01 on April 17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9% since July 1</w:t>
      </w:r>
      <w:r>
        <w:t xml:space="preserve">. The poor Q1 setup and negative reaction have lowered expectations, but that also means a clean comp/margin/guidance outcome could matter disproportionately.</w:t>
      </w:r>
    </w:p>
    <w:p>
      <w:r>
        <w:pict>
          <v:rect style="width:0;height:1.5pt" o:hralign="center" o:hrstd="t" o:hr="t"/>
        </w:pict>
      </w:r>
    </w:p>
    <w:bookmarkEnd w:id="9"/>
    <w:bookmarkStart w:id="10" w:name="what-happened-in-1qand-why-it-sets-up-2q"/>
    <w:p>
      <w:pPr>
        <w:pStyle w:val="Heading2"/>
      </w:pPr>
      <w:r>
        <w:t xml:space="preserve">What happened in 1Q—and why it sets up 2Q</w:t>
      </w:r>
    </w:p>
    <w:p>
      <w:pPr>
        <w:pStyle w:val="FirstParagraph"/>
      </w:pPr>
      <w:r>
        <w:t xml:space="preserve">TSCO reported a mixed 1Q26: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$3.59B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Improved from –0.9%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ticket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Comparable transactions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–1.0%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36.2%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–69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$0.31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–7.2%</w:t>
            </w:r>
          </w:p>
        </w:tc>
      </w:tr>
    </w:tbl>
    <w:p>
      <w:pPr>
        <w:pStyle w:val="BodyText"/>
      </w:pPr>
      <w:r>
        <w:t xml:space="preserve">The issue was not broad-based deterioration. Four of five merchandise categories grew on a comparable basis, digital sales grew at a strong double-digit rate, and new-store productivity remained at roughly 65%–70% of mature-store sales. The problem was that</w:t>
      </w:r>
      <w:r>
        <w:t xml:space="preserve"> </w:t>
      </w:r>
      <w:r>
        <w:rPr>
          <w:b/>
          <w:bCs/>
        </w:rPr>
        <w:t xml:space="preserve">companion animal was a more-than-100-basis-point drag to total comps</w:t>
      </w:r>
      <w:r>
        <w:t xml:space="preserve">, while comps below the company’s approximate 2% fixed-cost leverage threshold drove SG&amp;A deleverage.</w:t>
      </w:r>
    </w:p>
    <w:p>
      <w:pPr>
        <w:pStyle w:val="BodyText"/>
      </w:pPr>
      <w:r>
        <w:t xml:space="preserve">Management nevertheless reaffirmed its FY26 outlook: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 sales:</w:t>
      </w:r>
      <w:r>
        <w:t xml:space="preserve"> </w:t>
      </w:r>
      <w:r>
        <w:t xml:space="preserve">+4% to +6%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Comparable sales:</w:t>
      </w:r>
      <w:r>
        <w:t xml:space="preserve"> </w:t>
      </w:r>
      <w:r>
        <w:t xml:space="preserve">+1% to +3%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Operating margin:</w:t>
      </w:r>
      <w:r>
        <w:t xml:space="preserve"> </w:t>
      </w:r>
      <w:r>
        <w:t xml:space="preserve">9.3% to 9.6%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Diluted EPS:</w:t>
      </w:r>
      <w:r>
        <w:t xml:space="preserve"> </w:t>
      </w:r>
      <w:r>
        <w:t xml:space="preserve">$2.13 to $2.23</w:t>
      </w:r>
    </w:p>
    <w:p>
      <w:pPr>
        <w:pStyle w:val="FirstParagraph"/>
      </w:pPr>
      <w:r>
        <w:t xml:space="preserve">The key point for investors:</w:t>
      </w:r>
      <w:r>
        <w:t xml:space="preserve"> </w:t>
      </w:r>
      <w:r>
        <w:rPr>
          <w:b/>
          <w:bCs/>
        </w:rPr>
        <w:t xml:space="preserve">the annual framework requires an improvement from Q1’s +0.5% comp</w:t>
      </w:r>
      <w:r>
        <w:t xml:space="preserve">, and management explicitly indicated it had expected a sequentially better Q2 as spring demand normalized.</w:t>
      </w:r>
    </w:p>
    <w:p>
      <w:r>
        <w:pict>
          <v:rect style="width:0;height:1.5pt" o:hralign="center" o:hrstd="t" o:hr="t"/>
        </w:pict>
      </w:r>
    </w:p>
    <w:bookmarkEnd w:id="10"/>
    <w:bookmarkStart w:id="12" w:name="Xd039752e5f7c89b43b869b7b9ffd9ad5c2398cb"/>
    <w:p>
      <w:pPr>
        <w:pStyle w:val="Heading2"/>
      </w:pPr>
      <w:r>
        <w:t xml:space="preserve">The single most important KPI: comparable sales</w:t>
      </w:r>
    </w:p>
    <w:bookmarkStart w:id="11" w:name="Xce19c110131a8903f471f01948a7f63dbc71ed7"/>
    <w:p>
      <w:pPr>
        <w:pStyle w:val="Heading3"/>
      </w:pPr>
      <w:r>
        <w:t xml:space="preserve">Base case: low-to-mid range comp performance</w:t>
      </w:r>
    </w:p>
    <w:p>
      <w:pPr>
        <w:pStyle w:val="FirstParagraph"/>
      </w:pPr>
      <w:r>
        <w:t xml:space="preserve">A credible report likely requires comparable sales in the</w:t>
      </w:r>
      <w:r>
        <w:t xml:space="preserve"> </w:t>
      </w:r>
      <w:r>
        <w:rPr>
          <w:b/>
          <w:bCs/>
        </w:rPr>
        <w:t xml:space="preserve">middle of, or better than, the 1%–3% full-year range</w:t>
      </w:r>
      <w:r>
        <w:t xml:space="preserve">. Management entered Q2 saying the business was tracking within that range, supported by:</w:t>
      </w:r>
    </w:p>
    <w:p>
      <w:pPr>
        <w:pStyle w:val="Compact"/>
        <w:numPr>
          <w:ilvl w:val="0"/>
          <w:numId w:val="1003"/>
        </w:numPr>
      </w:pPr>
      <w:r>
        <w:t xml:space="preserve">Improved northern-market weather after a delayed spring;</w:t>
      </w:r>
    </w:p>
    <w:p>
      <w:pPr>
        <w:pStyle w:val="Compact"/>
        <w:numPr>
          <w:ilvl w:val="0"/>
          <w:numId w:val="1003"/>
        </w:numPr>
      </w:pPr>
      <w:r>
        <w:t xml:space="preserve">Strength in live goods, lawn and garden, sprayers and chemicals;</w:t>
      </w:r>
    </w:p>
    <w:p>
      <w:pPr>
        <w:pStyle w:val="Compact"/>
        <w:numPr>
          <w:ilvl w:val="0"/>
          <w:numId w:val="1003"/>
        </w:numPr>
      </w:pPr>
      <w:r>
        <w:t xml:space="preserve">Healthy demand for riding mowers and other seasonal big-ticket categories;</w:t>
      </w:r>
    </w:p>
    <w:p>
      <w:pPr>
        <w:pStyle w:val="Compact"/>
        <w:numPr>
          <w:ilvl w:val="0"/>
          <w:numId w:val="1003"/>
        </w:numPr>
      </w:pPr>
      <w:r>
        <w:t xml:space="preserve">Continued digital momentum;</w:t>
      </w:r>
    </w:p>
    <w:p>
      <w:pPr>
        <w:pStyle w:val="Compact"/>
        <w:numPr>
          <w:ilvl w:val="0"/>
          <w:numId w:val="1003"/>
        </w:numPr>
      </w:pPr>
      <w:r>
        <w:t xml:space="preserve">Ongoing share gains in farm and ranch.</w:t>
      </w:r>
    </w:p>
    <w:p>
      <w:pPr>
        <w:pStyle w:val="FirstParagraph"/>
      </w:pPr>
      <w:r>
        <w:t xml:space="preserve">The investor debate will center on the</w:t>
      </w:r>
      <w:r>
        <w:t xml:space="preserve"> </w:t>
      </w:r>
      <w:r>
        <w:rPr>
          <w:b/>
          <w:bCs/>
        </w:rPr>
        <w:t xml:space="preserve">quality</w:t>
      </w:r>
      <w:r>
        <w:t xml:space="preserve"> </w:t>
      </w:r>
      <w:r>
        <w:t xml:space="preserve">of that comp: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Better-quality outcome</w:t>
            </w:r>
          </w:p>
        </w:tc>
        <w:tc>
          <w:tcPr/>
          <w:p>
            <w:pPr>
              <w:pStyle w:val="Compact"/>
            </w:pPr>
            <w:r>
              <w:t xml:space="preserve">Lower-quality outcome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Positive transactions or clear sequential improvement</w:t>
            </w:r>
          </w:p>
        </w:tc>
        <w:tc>
          <w:tcPr/>
          <w:p>
            <w:pPr>
              <w:pStyle w:val="Compact"/>
            </w:pPr>
            <w:r>
              <w:t xml:space="preserve">Price/ticket carries sales while traffic remains weak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Broad gains across seasonal, farm/ranch, and core consumables</w:t>
            </w:r>
          </w:p>
        </w:tc>
        <w:tc>
          <w:tcPr/>
          <w:p>
            <w:pPr>
              <w:pStyle w:val="Compact"/>
            </w:pPr>
            <w:r>
              <w:t xml:space="preserve">Seasonal strength masks continued pressure elsewhere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Companion animal drag narrows</w:t>
            </w:r>
          </w:p>
        </w:tc>
        <w:tc>
          <w:tcPr/>
          <w:p>
            <w:pPr>
              <w:pStyle w:val="Compact"/>
            </w:pPr>
            <w:r>
              <w:t xml:space="preserve">Pet remains materially negative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Existing-store customer acquisition improves</w:t>
            </w:r>
          </w:p>
        </w:tc>
        <w:tc>
          <w:tcPr/>
          <w:p>
            <w:pPr>
              <w:pStyle w:val="Compact"/>
            </w:pPr>
            <w:r>
              <w:t xml:space="preserve">Growth still rests principally on new stores and retained customers</w:t>
            </w:r>
          </w:p>
        </w:tc>
      </w:tr>
    </w:tbl>
    <w:p>
      <w:pPr>
        <w:pStyle w:val="BodyText"/>
      </w:pPr>
      <w:r>
        <w:t xml:space="preserve">TSCO’s 1Q comp was entirely ticket-led: transaction count fell 1.0%, while ticket rose 1.6%. A 2Q result that remains dependent on price rather than transaction recovery would likely limit enthusiasm even if headline sales are acceptable.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Xda517d8a17986cc47b621f84fdb438d1ceb7024"/>
    <w:p>
      <w:pPr>
        <w:pStyle w:val="Heading2"/>
      </w:pPr>
      <w:r>
        <w:t xml:space="preserve">Companion animal remains the swing factor</w:t>
      </w:r>
    </w:p>
    <w:p>
      <w:pPr>
        <w:pStyle w:val="FirstParagraph"/>
      </w:pPr>
      <w:r>
        <w:t xml:space="preserve">Companion animal represented</w:t>
      </w:r>
      <w:r>
        <w:t xml:space="preserve"> </w:t>
      </w:r>
      <w:r>
        <w:rPr>
          <w:b/>
          <w:bCs/>
        </w:rPr>
        <w:t xml:space="preserve">26% of 1Q sales</w:t>
      </w:r>
      <w:r>
        <w:t xml:space="preserve">, versus 27% a year earlier, making it the most important category-level risk. TSCO’s exposure is structurally unfavorable to current pet-industry trends:</w:t>
      </w:r>
    </w:p>
    <w:p>
      <w:pPr>
        <w:pStyle w:val="Compact"/>
        <w:numPr>
          <w:ilvl w:val="0"/>
          <w:numId w:val="1004"/>
        </w:numPr>
      </w:pPr>
      <w:r>
        <w:t xml:space="preserve">TSCO’s pet mix is about</w:t>
      </w:r>
      <w:r>
        <w:t xml:space="preserve"> </w:t>
      </w:r>
      <w:r>
        <w:rPr>
          <w:b/>
          <w:bCs/>
        </w:rPr>
        <w:t xml:space="preserve">80% dog / 20% cat</w:t>
      </w:r>
      <w:r>
        <w:t xml:space="preserve">, compared with an industry mix closer to 60% / 40%.</w:t>
      </w:r>
    </w:p>
    <w:p>
      <w:pPr>
        <w:pStyle w:val="Compact"/>
        <w:numPr>
          <w:ilvl w:val="0"/>
          <w:numId w:val="1004"/>
        </w:numPr>
      </w:pPr>
      <w:r>
        <w:t xml:space="preserve">Dog ownership trends have weakened, particularly among larger dogs.</w:t>
      </w:r>
    </w:p>
    <w:p>
      <w:pPr>
        <w:pStyle w:val="Compact"/>
        <w:numPr>
          <w:ilvl w:val="0"/>
          <w:numId w:val="1004"/>
        </w:numPr>
      </w:pPr>
      <w:r>
        <w:t xml:space="preserve">The company has historically been more exposed to dry kibble, while growth has shifted toward fresh, premium, and digitally enabled pet-food offerings.</w:t>
      </w:r>
    </w:p>
    <w:p>
      <w:pPr>
        <w:pStyle w:val="Compact"/>
        <w:numPr>
          <w:ilvl w:val="0"/>
          <w:numId w:val="1004"/>
        </w:numPr>
      </w:pPr>
      <w:r>
        <w:t xml:space="preserve">Management expects pet to remain under pressure through 2026, even as its actions begin to help late in the year.</w:t>
      </w:r>
    </w:p>
    <w:bookmarkStart w:id="13" w:name="what-management-has-changed"/>
    <w:p>
      <w:pPr>
        <w:pStyle w:val="Heading3"/>
      </w:pPr>
      <w:r>
        <w:t xml:space="preserve">What management has changed</w:t>
      </w:r>
    </w:p>
    <w:p>
      <w:pPr>
        <w:pStyle w:val="FirstParagraph"/>
      </w:pPr>
      <w:r>
        <w:t xml:space="preserve">The company has acted aggressively:</w:t>
      </w:r>
    </w:p>
    <w:p>
      <w:pPr>
        <w:pStyle w:val="Compact"/>
        <w:numPr>
          <w:ilvl w:val="0"/>
          <w:numId w:val="1005"/>
        </w:numPr>
      </w:pPr>
      <w:r>
        <w:t xml:space="preserve">Expanded fresh/frozen pet from roughly 80 stores to more than 250 stores by late May, with a path toward about 700 by year-end;</w:t>
      </w:r>
    </w:p>
    <w:p>
      <w:pPr>
        <w:pStyle w:val="Compact"/>
        <w:numPr>
          <w:ilvl w:val="0"/>
          <w:numId w:val="1005"/>
        </w:numPr>
      </w:pPr>
      <w:r>
        <w:t xml:space="preserve">Expanded cat assortments and space allocation;</w:t>
      </w:r>
    </w:p>
    <w:p>
      <w:pPr>
        <w:pStyle w:val="Compact"/>
        <w:numPr>
          <w:ilvl w:val="0"/>
          <w:numId w:val="1005"/>
        </w:numPr>
      </w:pPr>
      <w:r>
        <w:t xml:space="preserve">Reset much of the dog food, treats, and wellness assortment in Q2;</w:t>
      </w:r>
    </w:p>
    <w:p>
      <w:pPr>
        <w:pStyle w:val="Compact"/>
        <w:numPr>
          <w:ilvl w:val="0"/>
          <w:numId w:val="1005"/>
        </w:numPr>
      </w:pPr>
      <w:r>
        <w:t xml:space="preserve">Added premium brands and broadened fresh, wellness, Rx, and subscription offerings;</w:t>
      </w:r>
    </w:p>
    <w:p>
      <w:pPr>
        <w:pStyle w:val="Compact"/>
        <w:numPr>
          <w:ilvl w:val="0"/>
          <w:numId w:val="1005"/>
        </w:numPr>
      </w:pPr>
      <w:r>
        <w:t xml:space="preserve">Continued to leverage Allivet, mobile clinics, pet wash, and loyalty engagement.</w:t>
      </w:r>
    </w:p>
    <w:bookmarkEnd w:id="13"/>
    <w:bookmarkStart w:id="14" w:name="what-investors-need-to-hear"/>
    <w:p>
      <w:pPr>
        <w:pStyle w:val="Heading3"/>
      </w:pPr>
      <w:r>
        <w:t xml:space="preserve">What investors need to hear</w:t>
      </w:r>
    </w:p>
    <w:p>
      <w:pPr>
        <w:pStyle w:val="FirstParagraph"/>
      </w:pPr>
      <w:r>
        <w:t xml:space="preserve">The best signal would be language that pet performance is</w:t>
      </w:r>
      <w:r>
        <w:t xml:space="preserve"> </w:t>
      </w:r>
      <w:r>
        <w:rPr>
          <w:b/>
          <w:bCs/>
        </w:rPr>
        <w:t xml:space="preserve">stabilizing or improving sequentially</w:t>
      </w:r>
      <w:r>
        <w:t xml:space="preserve">, even if still negative year over year. Conversely, if management says the category has weakened further—or if the rollout is producing limited early sales/traffic benefits—the market may question whether the company’s FY26 comp target is achievable.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b935f9617fb72841de74098bd5a3769ee736e3d"/>
    <w:p>
      <w:pPr>
        <w:pStyle w:val="Heading2"/>
      </w:pPr>
      <w:r>
        <w:t xml:space="preserve">Seasonal business and weather: the near-term offset</w:t>
      </w:r>
    </w:p>
    <w:p>
      <w:pPr>
        <w:pStyle w:val="FirstParagraph"/>
      </w:pPr>
      <w:r>
        <w:t xml:space="preserve">Q2 is seasonally more important than Q1, and management had been constructive on the spring ramp. The company highlighted strength in:</w:t>
      </w:r>
    </w:p>
    <w:p>
      <w:pPr>
        <w:pStyle w:val="Compact"/>
        <w:numPr>
          <w:ilvl w:val="0"/>
          <w:numId w:val="1006"/>
        </w:numPr>
      </w:pPr>
      <w:r>
        <w:t xml:space="preserve">Live goods and garden;</w:t>
      </w:r>
    </w:p>
    <w:p>
      <w:pPr>
        <w:pStyle w:val="Compact"/>
        <w:numPr>
          <w:ilvl w:val="0"/>
          <w:numId w:val="1006"/>
        </w:numPr>
      </w:pPr>
      <w:r>
        <w:t xml:space="preserve">Riding mowers and other seasonal big-ticket products;</w:t>
      </w:r>
    </w:p>
    <w:p>
      <w:pPr>
        <w:pStyle w:val="Compact"/>
        <w:numPr>
          <w:ilvl w:val="0"/>
          <w:numId w:val="1006"/>
        </w:numPr>
      </w:pPr>
      <w:r>
        <w:t xml:space="preserve">Chick Days;</w:t>
      </w:r>
    </w:p>
    <w:p>
      <w:pPr>
        <w:pStyle w:val="Compact"/>
        <w:numPr>
          <w:ilvl w:val="0"/>
          <w:numId w:val="1006"/>
        </w:numPr>
      </w:pPr>
      <w:r>
        <w:t xml:space="preserve">Agriculture, fencing, sprayers, chemicals, and related outdoor categories;</w:t>
      </w:r>
    </w:p>
    <w:p>
      <w:pPr>
        <w:pStyle w:val="Compact"/>
        <w:numPr>
          <w:ilvl w:val="0"/>
          <w:numId w:val="1006"/>
        </w:numPr>
      </w:pPr>
      <w:r>
        <w:t xml:space="preserve">Digital and final-mile delivery.</w:t>
      </w:r>
    </w:p>
    <w:p>
      <w:pPr>
        <w:pStyle w:val="FirstParagraph"/>
      </w:pPr>
      <w:r>
        <w:t xml:space="preserve">This matters because companion animal is a smaller portion of sales in Q2—management cited roughly</w:t>
      </w:r>
      <w:r>
        <w:t xml:space="preserve"> </w:t>
      </w:r>
      <w:r>
        <w:rPr>
          <w:b/>
          <w:bCs/>
        </w:rPr>
        <w:t xml:space="preserve">21% of Q2 sales</w:t>
      </w:r>
      <w:r>
        <w:t xml:space="preserve">, versus approximately 27%–28% in Q1. That mix shift gives TSCO a more favorable opportunity to deliver total-company comp growth even if pet remains soft.</w:t>
      </w:r>
    </w:p>
    <w:p>
      <w:pPr>
        <w:pStyle w:val="BodyText"/>
      </w:pPr>
      <w:r>
        <w:t xml:space="preserve">The risk is that seasonal categories are weather-sensitive and more discretionary than feed and other consumables. Investors should distinguish between a weather-assisted sales beat and evidence of stronger underlying consumer demand.</w:t>
      </w:r>
    </w:p>
    <w:p>
      <w:r>
        <w:pict>
          <v:rect style="width:0;height:1.5pt" o:hralign="center" o:hrstd="t" o:hr="t"/>
        </w:pict>
      </w:r>
    </w:p>
    <w:bookmarkEnd w:id="16"/>
    <w:bookmarkStart w:id="19" w:name="X230b4126f1b0ded707a436b7bbb95e3796855f4"/>
    <w:p>
      <w:pPr>
        <w:pStyle w:val="Heading2"/>
      </w:pPr>
      <w:r>
        <w:t xml:space="preserve">Margins and guidance may matter more than an EPS beat</w:t>
      </w:r>
    </w:p>
    <w:bookmarkStart w:id="17" w:name="gross-margin"/>
    <w:p>
      <w:pPr>
        <w:pStyle w:val="Heading3"/>
      </w:pPr>
      <w:r>
        <w:t xml:space="preserve">Gross margin</w:t>
      </w:r>
    </w:p>
    <w:p>
      <w:pPr>
        <w:pStyle w:val="FirstParagraph"/>
      </w:pPr>
      <w:r>
        <w:t xml:space="preserve">In Q1, gross margin was flat at 36.2%. Benefits from product-cost management and the company’s everyday-low-price strategy were offset by tariffs and delivery-related transportation costs.</w:t>
      </w:r>
    </w:p>
    <w:p>
      <w:pPr>
        <w:pStyle w:val="BodyText"/>
      </w:pPr>
      <w:r>
        <w:t xml:space="preserve">For Q2, the critical questions are:</w:t>
      </w:r>
    </w:p>
    <w:p>
      <w:pPr>
        <w:pStyle w:val="Compact"/>
        <w:numPr>
          <w:ilvl w:val="0"/>
          <w:numId w:val="1007"/>
        </w:numPr>
      </w:pPr>
      <w:r>
        <w:t xml:space="preserve">Has higher fuel/freight cost pressure intensified?</w:t>
      </w:r>
    </w:p>
    <w:p>
      <w:pPr>
        <w:pStyle w:val="Compact"/>
        <w:numPr>
          <w:ilvl w:val="0"/>
          <w:numId w:val="1007"/>
        </w:numPr>
      </w:pPr>
      <w:r>
        <w:t xml:space="preserve">Is tariff pressure still contained?</w:t>
      </w:r>
    </w:p>
    <w:p>
      <w:pPr>
        <w:pStyle w:val="Compact"/>
        <w:numPr>
          <w:ilvl w:val="0"/>
          <w:numId w:val="1007"/>
        </w:numPr>
      </w:pPr>
      <w:r>
        <w:t xml:space="preserve">Can price realization and sourcing discipline preserve gross margin?</w:t>
      </w:r>
    </w:p>
    <w:p>
      <w:pPr>
        <w:pStyle w:val="Compact"/>
        <w:numPr>
          <w:ilvl w:val="0"/>
          <w:numId w:val="1007"/>
        </w:numPr>
      </w:pPr>
      <w:r>
        <w:t xml:space="preserve">Is digital/final-mile mix creating more dilution than expected?</w:t>
      </w:r>
    </w:p>
    <w:p>
      <w:pPr>
        <w:pStyle w:val="FirstParagraph"/>
      </w:pPr>
      <w:r>
        <w:t xml:space="preserve">Management had said it had incorporated more conservative fuel assumptions into its outlook. A stable gross-margin print would therefore be positive; a notable miss would challenge the credibility of the unchanged full-year margin target.</w:t>
      </w:r>
    </w:p>
    <w:bookmarkEnd w:id="17"/>
    <w:bookmarkStart w:id="18" w:name="sga-and-operating-leverage"/>
    <w:p>
      <w:pPr>
        <w:pStyle w:val="Heading3"/>
      </w:pPr>
      <w:r>
        <w:t xml:space="preserve">SG&amp;A and operating leverage</w:t>
      </w:r>
    </w:p>
    <w:p>
      <w:pPr>
        <w:pStyle w:val="FirstParagraph"/>
      </w:pPr>
      <w:r>
        <w:t xml:space="preserve">Q1 SG&amp;A deleveraged</w:t>
      </w:r>
      <w:r>
        <w:t xml:space="preserve"> </w:t>
      </w:r>
      <w:r>
        <w:rPr>
          <w:b/>
          <w:bCs/>
        </w:rPr>
        <w:t xml:space="preserve">70 bps</w:t>
      </w:r>
      <w:r>
        <w:t xml:space="preserve">, driven by soft comps, strategic investments, and an accelerated new-store cadence. The company has said first-half deleverage would be heavier, but it also expects stronger earnings growth in Q2 and Q4.</w:t>
      </w:r>
    </w:p>
    <w:p>
      <w:pPr>
        <w:pStyle w:val="BodyText"/>
      </w:pPr>
      <w:r>
        <w:t xml:space="preserve">For the stock, the key is whether Q2 comp growth gets above the fixed-cost leverage threshold. A low comp paired with ongoing investment would likely produce another margin disappointment—even if sales and EPS technically meet expectations.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X0eef90bec51f46c29875ed3de9117485396791f"/>
    <w:p>
      <w:pPr>
        <w:pStyle w:val="Heading2"/>
      </w:pPr>
      <w:r>
        <w:t xml:space="preserve">New stores, capital intensity, and cash flow</w:t>
      </w:r>
    </w:p>
    <w:p>
      <w:pPr>
        <w:pStyle w:val="FirstParagraph"/>
      </w:pPr>
      <w:r>
        <w:t xml:space="preserve">New units are a genuine growth engine, not merely a reported-sales lever:</w:t>
      </w:r>
    </w:p>
    <w:p>
      <w:pPr>
        <w:pStyle w:val="Compact"/>
        <w:numPr>
          <w:ilvl w:val="0"/>
          <w:numId w:val="1008"/>
        </w:numPr>
      </w:pPr>
      <w:r>
        <w:t xml:space="preserve">TSCO opened</w:t>
      </w:r>
      <w:r>
        <w:t xml:space="preserve"> </w:t>
      </w:r>
      <w:r>
        <w:rPr>
          <w:b/>
          <w:bCs/>
        </w:rPr>
        <w:t xml:space="preserve">40 Tractor Supply stores in 1Q</w:t>
      </w:r>
      <w:r>
        <w:t xml:space="preserve">, compared with 15 a year earlier.</w:t>
      </w:r>
    </w:p>
    <w:p>
      <w:pPr>
        <w:pStyle w:val="Compact"/>
        <w:numPr>
          <w:ilvl w:val="0"/>
          <w:numId w:val="1008"/>
        </w:numPr>
      </w:pPr>
      <w:r>
        <w:t xml:space="preserve">It plans approximately</w:t>
      </w:r>
      <w:r>
        <w:t xml:space="preserve"> </w:t>
      </w:r>
      <w:r>
        <w:rPr>
          <w:b/>
          <w:bCs/>
        </w:rPr>
        <w:t xml:space="preserve">100 new Tractor Supply stores</w:t>
      </w:r>
      <w:r>
        <w:t xml:space="preserve"> </w:t>
      </w:r>
      <w:r>
        <w:t xml:space="preserve">for FY26.</w:t>
      </w:r>
    </w:p>
    <w:p>
      <w:pPr>
        <w:pStyle w:val="Compact"/>
        <w:numPr>
          <w:ilvl w:val="0"/>
          <w:numId w:val="1008"/>
        </w:numPr>
      </w:pPr>
      <w:r>
        <w:t xml:space="preserve">Management characterizes new-store ROIC as roughly</w:t>
      </w:r>
      <w:r>
        <w:t xml:space="preserve"> </w:t>
      </w:r>
      <w:r>
        <w:rPr>
          <w:b/>
          <w:bCs/>
        </w:rPr>
        <w:t xml:space="preserve">23%–25%</w:t>
      </w:r>
      <w:r>
        <w:t xml:space="preserve">, with productivity at the high end of its 65%–70% target range.</w:t>
      </w:r>
    </w:p>
    <w:p>
      <w:pPr>
        <w:pStyle w:val="Compact"/>
        <w:numPr>
          <w:ilvl w:val="0"/>
          <w:numId w:val="1008"/>
        </w:numPr>
      </w:pPr>
      <w:r>
        <w:t xml:space="preserve">FY26 net capital expenditures are projected at</w:t>
      </w:r>
      <w:r>
        <w:t xml:space="preserve"> </w:t>
      </w:r>
      <m:oMath>
        <m:r>
          <m:t>675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725M</w:t>
      </w:r>
      <w:r>
        <w:t xml:space="preserve">, including stores, Fusion remodels, digital investments, and the new Nampa, Idaho distribution center.</w:t>
      </w:r>
    </w:p>
    <w:p>
      <w:pPr>
        <w:pStyle w:val="FirstParagraph"/>
      </w:pPr>
      <w:r>
        <w:t xml:space="preserve">The trade-off is clear: new-store sales support reported growth, but the opening cadence raises pre-opening expense and fixed-cost burdens before revenue matures. Investors should watch whether management remains committed to the roughly 100-store plan or begins to moderate openings in response to the operating environment.</w:t>
      </w:r>
    </w:p>
    <w:p>
      <w:pPr>
        <w:pStyle w:val="BodyText"/>
      </w:pPr>
      <w:r>
        <w:t xml:space="preserve">The balance sheet remains workable, but debt and cash use deserve attention. At the end of Q1, TSCO had about</w:t>
      </w:r>
      <w:r>
        <w:t xml:space="preserve"> </w:t>
      </w:r>
      <m:oMath>
        <m:r>
          <m:t>2.13</m:t>
        </m:r>
        <m:r>
          <m:t>B</m:t>
        </m:r>
        <m:r>
          <m:t>o</m:t>
        </m:r>
        <m:r>
          <m:t>f</m:t>
        </m:r>
        <m:r>
          <m:t>l</m:t>
        </m:r>
        <m:r>
          <m:t>o</m:t>
        </m:r>
        <m:r>
          <m:t>n</m:t>
        </m:r>
        <m:r>
          <m:t>g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w</m:t>
        </m:r>
        <m:r>
          <m:t>a</m:t>
        </m:r>
        <m:r>
          <m:t>s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y</m:t>
        </m:r>
        <m:r>
          <m:t>e</m:t>
        </m:r>
        <m:r>
          <m:t>a</m:t>
        </m:r>
        <m:r>
          <m:t>r</m:t>
        </m:r>
        <m:r>
          <m:t>o</m:t>
        </m:r>
        <m:r>
          <m:t>v</m:t>
        </m:r>
        <m:r>
          <m:t>e</m:t>
        </m:r>
        <m:r>
          <m:t>r</m:t>
        </m:r>
        <m:r>
          <m:t>y</m:t>
        </m:r>
        <m:r>
          <m:t>e</m:t>
        </m:r>
        <m:r>
          <m:t>a</m:t>
        </m:r>
        <m:r>
          <m:t>r</m:t>
        </m:r>
        <m:r>
          <m:t>b</m:t>
        </m:r>
        <m:r>
          <m:t>e</m:t>
        </m:r>
        <m:r>
          <m:t>c</m:t>
        </m:r>
        <m:r>
          <m:t>a</m:t>
        </m:r>
        <m:r>
          <m:t>u</m:t>
        </m:r>
        <m:r>
          <m:t>s</m:t>
        </m:r>
        <m:r>
          <m:t>e</m:t>
        </m:r>
        <m:r>
          <m:t>o</m:t>
        </m:r>
        <m:r>
          <m:t>f</m:t>
        </m:r>
        <m:r>
          <m:t>w</m:t>
        </m:r>
        <m:r>
          <m:t>o</m:t>
        </m:r>
        <m:r>
          <m:t>r</m:t>
        </m:r>
        <m:r>
          <m:t>k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i</m:t>
        </m:r>
        <m:r>
          <m:t>n</m:t>
        </m:r>
        <m:r>
          <m:t>v</m:t>
        </m:r>
        <m:r>
          <m:t>e</m:t>
        </m:r>
        <m:r>
          <m:t>s</m:t>
        </m:r>
        <m:r>
          <m:t>t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.</m:t>
        </m:r>
        <m:r>
          <m:t>I</m:t>
        </m:r>
        <m:r>
          <m:t>t</m:t>
        </m:r>
        <m:r>
          <m:t>s</m:t>
        </m:r>
        <m:r>
          <m:t>t</m:t>
        </m:r>
        <m:r>
          <m:t>i</m:t>
        </m:r>
        <m:r>
          <m:t>l</m:t>
        </m:r>
        <m:r>
          <m:t>l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244M</w:t>
      </w:r>
      <w:r>
        <w:t xml:space="preserve"> </w:t>
      </w:r>
      <w:r>
        <w:t xml:space="preserve">to shareholders in Q1 through dividends and repurchases, with about</w:t>
      </w:r>
      <w:r>
        <w:t xml:space="preserve"> </w:t>
      </w:r>
      <w:r>
        <w:rPr>
          <w:b/>
          <w:bCs/>
        </w:rPr>
        <w:t xml:space="preserve">$1.01B</w:t>
      </w:r>
      <w:r>
        <w:t xml:space="preserve"> </w:t>
      </w:r>
      <w:r>
        <w:t xml:space="preserve">remaining under the repurchase authorization.</w:t>
      </w:r>
    </w:p>
    <w:p>
      <w:r>
        <w:pict>
          <v:rect style="width:0;height:1.5pt" o:hralign="center" o:hrstd="t" o:hr="t"/>
        </w:pict>
      </w:r>
    </w:p>
    <w:bookmarkEnd w:id="20"/>
    <w:bookmarkStart w:id="21" w:name="what-would-constitute-a-bullish-report"/>
    <w:p>
      <w:pPr>
        <w:pStyle w:val="Heading2"/>
      </w:pPr>
      <w:r>
        <w:t xml:space="preserve">What would constitute a bullish report?</w:t>
      </w:r>
    </w:p>
    <w:p>
      <w:pPr>
        <w:pStyle w:val="FirstParagraph"/>
      </w:pPr>
      <w:r>
        <w:t xml:space="preserve">A constructive outcome would include most of the following: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Comparable sales at or above the midpoint of guidance</w:t>
      </w:r>
      <w:r>
        <w:t xml:space="preserve">, with a healthy seasonal contribution.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Improving transaction trends</w:t>
      </w:r>
      <w:r>
        <w:t xml:space="preserve">, not simply inflation-led ticket growth.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Companion animal stabilizing sequentially</w:t>
      </w:r>
      <w:r>
        <w:t xml:space="preserve">, plus encouraging early evidence from fresh pet, cat, and assortment resets.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Gross-margin resilience</w:t>
      </w:r>
      <w:r>
        <w:t xml:space="preserve"> </w:t>
      </w:r>
      <w:r>
        <w:t xml:space="preserve">despite fuel, tariffs, freight, and delivery mix.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SG&amp;A leverage improving versus Q1</w:t>
      </w:r>
      <w:r>
        <w:t xml:space="preserve">, enabled by stronger comps.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FY26 guidance reaffirmed</w:t>
      </w:r>
      <w:r>
        <w:t xml:space="preserve">, ideally with confidence in the midpoint rather than a cautious reiteration.</w:t>
      </w:r>
    </w:p>
    <w:p>
      <w:pPr>
        <w:pStyle w:val="Compact"/>
        <w:numPr>
          <w:ilvl w:val="0"/>
          <w:numId w:val="1009"/>
        </w:numPr>
      </w:pPr>
      <w:r>
        <w:t xml:space="preserve">Evidence that digital, direct sales, final-mile delivery, localization, and Fusion remodels are translating into measurable sales productivity.</w:t>
      </w:r>
    </w:p>
    <w:p>
      <w:r>
        <w:pict>
          <v:rect style="width:0;height:1.5pt" o:hralign="center" o:hrstd="t" o:hr="t"/>
        </w:pict>
      </w:r>
    </w:p>
    <w:bookmarkEnd w:id="21"/>
    <w:bookmarkStart w:id="22" w:name="what-would-constitute-a-bearish-report"/>
    <w:p>
      <w:pPr>
        <w:pStyle w:val="Heading2"/>
      </w:pPr>
      <w:r>
        <w:t xml:space="preserve">What would constitute a bearish report?</w:t>
      </w:r>
    </w:p>
    <w:p>
      <w:pPr>
        <w:pStyle w:val="FirstParagraph"/>
      </w:pPr>
      <w:r>
        <w:t xml:space="preserve">The downside case is straightforward: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Comps below 1%</w:t>
      </w:r>
      <w:r>
        <w:t xml:space="preserve">, particularly if traffic remains negative.</w:t>
      </w:r>
    </w:p>
    <w:p>
      <w:pPr>
        <w:pStyle w:val="Compact"/>
        <w:numPr>
          <w:ilvl w:val="0"/>
          <w:numId w:val="1010"/>
        </w:numPr>
      </w:pPr>
      <w:r>
        <w:t xml:space="preserve">Seasonal strength that proves insufficient to offset pet weakness.</w:t>
      </w:r>
    </w:p>
    <w:p>
      <w:pPr>
        <w:pStyle w:val="Compact"/>
        <w:numPr>
          <w:ilvl w:val="0"/>
          <w:numId w:val="1010"/>
        </w:numPr>
      </w:pPr>
      <w:r>
        <w:t xml:space="preserve">A companion-animal decline that worsens or does not show signs of stabilization.</w:t>
      </w:r>
    </w:p>
    <w:p>
      <w:pPr>
        <w:pStyle w:val="Compact"/>
        <w:numPr>
          <w:ilvl w:val="0"/>
          <w:numId w:val="1010"/>
        </w:numPr>
      </w:pPr>
      <w:r>
        <w:t xml:space="preserve">More gross-margin pressure from fuel, tariffs, freight, or promotional activity.</w:t>
      </w:r>
    </w:p>
    <w:p>
      <w:pPr>
        <w:pStyle w:val="Compact"/>
        <w:numPr>
          <w:ilvl w:val="0"/>
          <w:numId w:val="1010"/>
        </w:numPr>
      </w:pPr>
      <w:r>
        <w:t xml:space="preserve">Continued material SG&amp;A deleverage, indicating the business is operating below its fixed-cost leverage threshold.</w:t>
      </w:r>
    </w:p>
    <w:p>
      <w:pPr>
        <w:pStyle w:val="Compact"/>
        <w:numPr>
          <w:ilvl w:val="0"/>
          <w:numId w:val="1010"/>
        </w:numPr>
      </w:pPr>
      <w:r>
        <w:t xml:space="preserve">A reduction in FY26 EPS, operating-margin, or comp guidance.</w:t>
      </w:r>
    </w:p>
    <w:p>
      <w:pPr>
        <w:pStyle w:val="Compact"/>
        <w:numPr>
          <w:ilvl w:val="0"/>
          <w:numId w:val="1010"/>
        </w:numPr>
      </w:pPr>
      <w:r>
        <w:t xml:space="preserve">Less confidence around store openings, the Nampa distribution-center ramp, or the returns on strategic investments.</w:t>
      </w:r>
    </w:p>
    <w:p>
      <w:r>
        <w:pict>
          <v:rect style="width:0;height:1.5pt" o:hralign="center" o:hrstd="t" o:hr="t"/>
        </w:pict>
      </w:r>
    </w:p>
    <w:bookmarkEnd w:id="22"/>
    <w:bookmarkStart w:id="23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TSCO’s 2Q26 report is primarily a test of</w:t>
      </w:r>
      <w:r>
        <w:t xml:space="preserve"> </w:t>
      </w:r>
      <w:r>
        <w:rPr>
          <w:b/>
          <w:bCs/>
        </w:rPr>
        <w:t xml:space="preserve">earnings-algorithm recovery</w:t>
      </w:r>
      <w:r>
        <w:t xml:space="preserve">, not a test of whether the company remains strategically sound. The long-term pillars—rural market share, farm-and-ranch leadership, a sizable store-opening runway, loyalty, digital, final-mile delivery, and services—remain intact. But the market needs evidence that those advantages can produce near-term profit growth while the customer remains value-conscious and the pet category remains unfavorable.</w:t>
      </w:r>
    </w:p>
    <w:p>
      <w:pPr>
        <w:pStyle w:val="BodyText"/>
      </w:pPr>
      <w:r>
        <w:rPr>
          <w:b/>
          <w:bCs/>
        </w:rPr>
        <w:t xml:space="preserve">My focus order for the call:</w:t>
      </w:r>
    </w:p>
    <w:p>
      <w:pPr>
        <w:pStyle w:val="Compact"/>
        <w:numPr>
          <w:ilvl w:val="0"/>
          <w:numId w:val="1011"/>
        </w:numPr>
      </w:pPr>
      <w:r>
        <w:t xml:space="preserve">Comparable sales and transaction trend</w:t>
      </w:r>
    </w:p>
    <w:p>
      <w:pPr>
        <w:pStyle w:val="Compact"/>
        <w:numPr>
          <w:ilvl w:val="0"/>
          <w:numId w:val="1011"/>
        </w:numPr>
      </w:pPr>
      <w:r>
        <w:t xml:space="preserve">Companion-animal trajectory and rollout returns</w:t>
      </w:r>
    </w:p>
    <w:p>
      <w:pPr>
        <w:pStyle w:val="Compact"/>
        <w:numPr>
          <w:ilvl w:val="0"/>
          <w:numId w:val="1011"/>
        </w:numPr>
      </w:pPr>
      <w:r>
        <w:t xml:space="preserve">Gross-margin commentary on fuel, tariffs, freight, and price</w:t>
      </w:r>
    </w:p>
    <w:p>
      <w:pPr>
        <w:pStyle w:val="Compact"/>
        <w:numPr>
          <w:ilvl w:val="0"/>
          <w:numId w:val="1011"/>
        </w:numPr>
      </w:pPr>
      <w:r>
        <w:t xml:space="preserve">SG&amp;A leverage and EPS conversion</w:t>
      </w:r>
    </w:p>
    <w:p>
      <w:pPr>
        <w:pStyle w:val="Compact"/>
        <w:numPr>
          <w:ilvl w:val="0"/>
          <w:numId w:val="1011"/>
        </w:numPr>
      </w:pPr>
      <w:r>
        <w:t xml:space="preserve">Full-year guide confidence</w:t>
      </w:r>
    </w:p>
    <w:p>
      <w:pPr>
        <w:pStyle w:val="Compact"/>
        <w:numPr>
          <w:ilvl w:val="0"/>
          <w:numId w:val="1011"/>
        </w:numPr>
      </w:pPr>
      <w:r>
        <w:t xml:space="preserve">Store growth, capex, and cash-flow discipline</w:t>
      </w:r>
    </w:p>
    <w:p>
      <w:pPr>
        <w:pStyle w:val="FirstParagraph"/>
      </w:pPr>
      <w:r>
        <w:t xml:space="preserve">Given the substantial stock reset heading into the event, the asymmetry may be improving—but TSCO still needs to prove that Q1 was the low point rather than the beginning of a more persistent earnings-deleveraging cycle.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2026-07-23T00:44:47Z</dcterms:created>
  <dcterms:modified xsi:type="dcterms:W3CDTF">2026-07-23T00:44:47Z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