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Tractor Supply Company (TSCO)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Tractor Supply Company</w:t>
            </w:r>
          </w:p>
        </w:tc>
      </w:tr>
      <w:tr>
        <w:tc>
          <w:tcPr>
            <w:tcW w:type="dxa" w:w="4320"/>
          </w:tcPr>
          <w:p>
            <w:r>
              <w:rPr>
                <w:rFonts w:ascii="Calibri" w:hAnsi="Calibri"/>
                <w:b/>
                <w:sz w:val="22"/>
              </w:rPr>
              <w:t>Ticker</w:t>
            </w:r>
          </w:p>
        </w:tc>
        <w:tc>
          <w:tcPr>
            <w:tcW w:type="dxa" w:w="4320"/>
          </w:tcPr>
          <w:p>
            <w:r>
              <w:rPr>
                <w:rFonts w:ascii="Calibri" w:hAnsi="Calibri"/>
                <w:sz w:val="22"/>
              </w:rPr>
              <w:t>TSCO (NASDAQ)</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 Before Market Open</w:t>
            </w:r>
          </w:p>
        </w:tc>
      </w:tr>
      <w:tr>
        <w:tc>
          <w:tcPr>
            <w:tcW w:type="dxa" w:w="4320"/>
          </w:tcPr>
          <w:p>
            <w:r>
              <w:rPr>
                <w:rFonts w:ascii="Calibri" w:hAnsi="Calibri"/>
                <w:b/>
                <w:sz w:val="22"/>
              </w:rPr>
              <w:t>Preparation Date</w:t>
            </w:r>
          </w:p>
        </w:tc>
        <w:tc>
          <w:tcPr>
            <w:tcW w:type="dxa" w:w="4320"/>
          </w:tcPr>
          <w:p>
            <w:r>
              <w:rPr>
                <w:rFonts w:ascii="Calibri" w:hAnsi="Calibri"/>
                <w:sz w:val="22"/>
              </w:rPr>
              <w:t>July 22, 2026</w:t>
            </w:r>
          </w:p>
        </w:tc>
      </w:tr>
      <w:tr>
        <w:tc>
          <w:tcPr>
            <w:tcW w:type="dxa" w:w="4320"/>
          </w:tcPr>
          <w:p>
            <w:r>
              <w:rPr>
                <w:rFonts w:ascii="Calibri" w:hAnsi="Calibri"/>
                <w:b/>
                <w:sz w:val="22"/>
              </w:rPr>
              <w:t>Last Earnings</w:t>
            </w:r>
          </w:p>
        </w:tc>
        <w:tc>
          <w:tcPr>
            <w:tcW w:type="dxa" w:w="4320"/>
          </w:tcPr>
          <w:p>
            <w:r>
              <w:rPr>
                <w:rFonts w:ascii="Calibri" w:hAnsi="Calibri"/>
                <w:sz w:val="22"/>
              </w:rPr>
              <w:t>April 21, 2026 (Q1 2026 — Miss on EPS and Revenue; Guidance Reaffirmed)</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bearish — consensus sits at the low end of management’s own 1–3% comp guidance range, yet the stock has already de-rated sharply (down ~26% since Q1 earnings), suggesting the bar is low but not necessarily easy to clear given the structural companion animal headwind and a cautious consumer.</w:t>
      </w:r>
    </w:p>
    <w:p>
      <w:r>
        <w:rPr>
          <w:rFonts w:ascii="Calibri" w:hAnsi="Calibri"/>
          <w:color w:val="525866"/>
          <w:sz w:val="22"/>
        </w:rPr>
        <w:t xml:space="preserve">Heading into Q2 2026, the bar for TSCO is technically low: consensus comp growth of ~0.03% sits well below management’s guided 1–3% range, and EPS consensus of $0.82 implies only modest year-over-year growth off a weak prior-year base. Management reaffirmed full-year guidance on the Q1 call and explicitly flagged that </w:t>
      </w:r>
      <w:r>
        <w:rPr>
          <w:rFonts w:ascii="Calibri" w:hAnsi="Calibri"/>
          <w:b/>
          <w:color w:val="525866"/>
          <w:sz w:val="22"/>
        </w:rPr>
        <w:t>pet over-indexes in Q1 by nearly 5 points and under-indexes in Q2</w:t>
      </w:r>
      <w:r>
        <w:rPr>
          <w:rFonts w:ascii="Calibri" w:hAnsi="Calibri"/>
          <w:color w:val="525866"/>
          <w:sz w:val="22"/>
        </w:rPr>
        <w:t xml:space="preserve">, which should mechanically reduce the companion animal drag in the current quarter — a meaningful tailwind relative to Q1’s 100+ bps headwind. Tone on the Q1 call was measured but action-oriented: management is aggressively scaling fresh/frozen pet (targeting 700 stores by year-end), upgrading the dog food assortment chain-wide in Q2, and expanding cat space in Fusion stores, all of which could show early traction in the print. Estimate revisions have moved modestly lower since the Q1 print (Q2 comp consensus slipped from 1.6% to 0.03%), suggesting the Street has already baked in continued softness, but the gap between consensus and the guidance midpoint (2%) represents meaningful upside if pet stabilizes even slightly. The stock has massively underperformed — down 25.8% since Q1 earnings vs. XRT +1.8% and SPY +6.2% — pricing in a structurally impaired business, which means any evidence of pet category stabilization or comp inflection could drive a sharp relief rally. The key wildcard is </w:t>
      </w:r>
      <w:r>
        <w:rPr>
          <w:rFonts w:ascii="Calibri" w:hAnsi="Calibri"/>
          <w:b/>
          <w:color w:val="525866"/>
          <w:sz w:val="22"/>
        </w:rPr>
        <w:t>whether the Q2 chain-wide dog food upgrade and fresh/frozen pet rollout show measurable early traction in comp data</w:t>
      </w:r>
      <w:r>
        <w:rPr>
          <w:rFonts w:ascii="Calibri" w:hAnsi="Calibri"/>
          <w:color w:val="525866"/>
          <w:sz w:val="22"/>
        </w:rPr>
        <w:t xml:space="preserve"> — if management can point to improving pet trends in June/July, the stock could re-rate meaningfully despite a still-below-algorithm comp.</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Theme</w:t>
            </w:r>
          </w:p>
        </w:tc>
        <w:tc>
          <w:tcPr>
            <w:tcW w:type="dxa" w:w="4320"/>
          </w:tcPr>
          <w:p>
            <w:r>
              <w:rPr>
                <w:rFonts w:ascii="Calibri" w:hAnsi="Calibri"/>
                <w:b/>
                <w:sz w:val="22"/>
              </w:rPr>
              <w:t>Assessment</w:t>
            </w:r>
          </w:p>
        </w:tc>
      </w:tr>
      <w:tr>
        <w:tc>
          <w:tcPr>
            <w:tcW w:type="dxa" w:w="4320"/>
          </w:tcPr>
          <w:p>
            <w:r>
              <w:rPr>
                <w:rFonts w:ascii="Calibri" w:hAnsi="Calibri"/>
                <w:sz w:val="22"/>
              </w:rPr>
              <w:t>Bar</w:t>
            </w:r>
          </w:p>
        </w:tc>
        <w:tc>
          <w:tcPr>
            <w:tcW w:type="dxa" w:w="4320"/>
          </w:tcPr>
          <w:p>
            <w:r>
              <w:rPr>
                <w:rFonts w:ascii="Calibri" w:hAnsi="Calibri"/>
                <w:sz w:val="22"/>
              </w:rPr>
              <w:t>Low — consensus comp of ~0.03% is well below the 1–3% guidance range; EPS consensus of $0.82 implies modest growth off a weak base</w:t>
            </w:r>
          </w:p>
        </w:tc>
      </w:tr>
      <w:tr>
        <w:tc>
          <w:tcPr>
            <w:tcW w:type="dxa" w:w="4320"/>
          </w:tcPr>
          <w:p>
            <w:r>
              <w:rPr>
                <w:rFonts w:ascii="Calibri" w:hAnsi="Calibri"/>
                <w:sz w:val="22"/>
              </w:rPr>
              <w:t>Guidance / Tone</w:t>
            </w:r>
          </w:p>
        </w:tc>
        <w:tc>
          <w:tcPr>
            <w:tcW w:type="dxa" w:w="4320"/>
          </w:tcPr>
          <w:p>
            <w:r>
              <w:rPr>
                <w:rFonts w:ascii="Calibri" w:hAnsi="Calibri"/>
                <w:sz w:val="22"/>
              </w:rPr>
              <w:t>Unchanged — full-year guidance reaffirmed on Q1 call; management expects stronger EPS growth in Q2 and Q4 given prior-year compares; tone is action-oriented on pet recovery</w:t>
            </w:r>
          </w:p>
        </w:tc>
      </w:tr>
      <w:tr>
        <w:tc>
          <w:tcPr>
            <w:tcW w:type="dxa" w:w="4320"/>
          </w:tcPr>
          <w:p>
            <w:r>
              <w:rPr>
                <w:rFonts w:ascii="Calibri" w:hAnsi="Calibri"/>
                <w:sz w:val="22"/>
              </w:rPr>
              <w:t>Estimate Trajectory</w:t>
            </w:r>
          </w:p>
        </w:tc>
        <w:tc>
          <w:tcPr>
            <w:tcW w:type="dxa" w:w="4320"/>
          </w:tcPr>
          <w:p>
            <w:r>
              <w:rPr>
                <w:rFonts w:ascii="Calibri" w:hAnsi="Calibri"/>
                <w:sz w:val="22"/>
              </w:rPr>
              <w:t>Drifting lower — Q2 comp consensus fell from 1.6% (post-Q1 baseline) to 0.03% currently; EPS slipped from $0.86 to $0.82; gap vs. guidance midpoint represents potential upside cushion</w:t>
            </w:r>
          </w:p>
        </w:tc>
      </w:tr>
      <w:tr>
        <w:tc>
          <w:tcPr>
            <w:tcW w:type="dxa" w:w="4320"/>
          </w:tcPr>
          <w:p>
            <w:r>
              <w:rPr>
                <w:rFonts w:ascii="Calibri" w:hAnsi="Calibri"/>
                <w:sz w:val="22"/>
              </w:rPr>
              <w:t>Stock Setup</w:t>
            </w:r>
          </w:p>
        </w:tc>
        <w:tc>
          <w:tcPr>
            <w:tcW w:type="dxa" w:w="4320"/>
          </w:tcPr>
          <w:p>
            <w:r>
              <w:rPr>
                <w:rFonts w:ascii="Calibri" w:hAnsi="Calibri"/>
                <w:sz w:val="22"/>
              </w:rPr>
              <w:t>Deeply discounted — stock down 25.8% since Q1 earnings, massively underperforming XRT (+1.8%) and SPY (+6.2%); multiple compression reflects structural concern, not just a miss</w:t>
            </w:r>
          </w:p>
        </w:tc>
      </w:tr>
      <w:tr>
        <w:tc>
          <w:tcPr>
            <w:tcW w:type="dxa" w:w="4320"/>
          </w:tcPr>
          <w:p>
            <w:r>
              <w:rPr>
                <w:rFonts w:ascii="Calibri" w:hAnsi="Calibri"/>
                <w:sz w:val="22"/>
              </w:rPr>
              <w:t>Wildcard</w:t>
            </w:r>
          </w:p>
        </w:tc>
        <w:tc>
          <w:tcPr>
            <w:tcW w:type="dxa" w:w="4320"/>
          </w:tcPr>
          <w:p>
            <w:r>
              <w:rPr>
                <w:rFonts w:ascii="Calibri" w:hAnsi="Calibri"/>
                <w:sz w:val="22"/>
              </w:rPr>
              <w:t>Pet category traction — Q2 chain-wide dog food upgrade and fresh/frozen pet rollout (targeting 250+ stores by end of May, 700 by year-end); any measurable improvement in pet comp trend could be the catalyst for a re-rating</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on comp sales (0.03% vs. 1–3% guidance range) but a more reasonable bar on EPS ($0.82 vs. prior-year $0.81). </w:t>
      </w:r>
      <w:r>
        <w:rPr>
          <w:rFonts w:ascii="Calibri" w:hAnsi="Calibri"/>
          <w:b/>
          <w:color w:val="525866"/>
          <w:sz w:val="22"/>
        </w:rPr>
        <w:t>Comp store sales growth is the bigger swing factor</w:t>
      </w:r>
      <w:r>
        <w:rPr>
          <w:rFonts w:ascii="Calibri" w:hAnsi="Calibri"/>
          <w:color w:val="525866"/>
          <w:sz w:val="22"/>
        </w:rPr>
        <w:t xml:space="preserve"> — any upside here flows directly to operating leverage and could drive a meaningful beat on EPS.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($B)</w:t>
            </w:r>
          </w:p>
        </w:tc>
        <w:tc>
          <w:tcPr>
            <w:tcW w:type="dxa" w:w="1234"/>
          </w:tcPr>
          <w:p>
            <w:r>
              <w:rPr>
                <w:rFonts w:ascii="Calibri" w:hAnsi="Calibri"/>
                <w:sz w:val="22"/>
              </w:rPr>
              <w:t>$3.592B</w:t>
            </w:r>
          </w:p>
        </w:tc>
        <w:tc>
          <w:tcPr>
            <w:tcW w:type="dxa" w:w="1234"/>
          </w:tcPr>
          <w:p>
            <w:r>
              <w:rPr>
                <w:rFonts w:ascii="Calibri" w:hAnsi="Calibri"/>
                <w:sz w:val="22"/>
              </w:rPr>
              <w:t>$4.440B</w:t>
            </w:r>
          </w:p>
        </w:tc>
        <w:tc>
          <w:tcPr>
            <w:tcW w:type="dxa" w:w="1234"/>
          </w:tcPr>
          <w:p>
            <w:r>
              <w:rPr>
                <w:rFonts w:ascii="Calibri" w:hAnsi="Calibri"/>
                <w:sz w:val="22"/>
              </w:rPr>
              <w:t>$4.592B</w:t>
            </w:r>
          </w:p>
        </w:tc>
        <w:tc>
          <w:tcPr>
            <w:tcW w:type="dxa" w:w="1234"/>
          </w:tcPr>
          <w:p>
            <w:r>
              <w:rPr>
                <w:rFonts w:ascii="Calibri" w:hAnsi="Calibri"/>
                <w:sz w:val="22"/>
              </w:rPr>
              <w:t>+3.4%</w:t>
            </w:r>
          </w:p>
        </w:tc>
        <w:tc>
          <w:tcPr>
            <w:tcW w:type="dxa" w:w="1234"/>
          </w:tcPr>
          <w:p>
            <w:r>
              <w:rPr>
                <w:rFonts w:ascii="Calibri" w:hAnsi="Calibri"/>
                <w:sz w:val="22"/>
              </w:rPr>
              <w:t>~$4.5–4.7B (implied by 1–3% comp + ~100 new stores)</w:t>
            </w:r>
          </w:p>
        </w:tc>
        <w:tc>
          <w:tcPr>
            <w:tcW w:type="dxa" w:w="1234"/>
          </w:tcPr>
          <w:p>
            <w:r>
              <w:rPr>
                <w:rFonts w:ascii="Calibri" w:hAnsi="Calibri"/>
                <w:sz w:val="22"/>
              </w:rPr>
              <w:t>~Midpoint</w:t>
            </w:r>
          </w:p>
        </w:tc>
      </w:tr>
      <w:tr>
        <w:tc>
          <w:tcPr>
            <w:tcW w:type="dxa" w:w="1234"/>
          </w:tcPr>
          <w:p>
            <w:r>
              <w:rPr>
                <w:rFonts w:ascii="Calibri" w:hAnsi="Calibri"/>
                <w:sz w:val="22"/>
              </w:rPr>
              <w:t>Comp Store Sales Growth (%)</w:t>
            </w:r>
          </w:p>
        </w:tc>
        <w:tc>
          <w:tcPr>
            <w:tcW w:type="dxa" w:w="1234"/>
          </w:tcPr>
          <w:p>
            <w:r>
              <w:rPr>
                <w:rFonts w:ascii="Calibri" w:hAnsi="Calibri"/>
                <w:sz w:val="22"/>
              </w:rPr>
              <w:t>+0.5%</w:t>
            </w:r>
          </w:p>
        </w:tc>
        <w:tc>
          <w:tcPr>
            <w:tcW w:type="dxa" w:w="1234"/>
          </w:tcPr>
          <w:p>
            <w:r>
              <w:rPr>
                <w:rFonts w:ascii="Calibri" w:hAnsi="Calibri"/>
                <w:sz w:val="22"/>
              </w:rPr>
              <w:t>+1.5%</w:t>
            </w:r>
          </w:p>
        </w:tc>
        <w:tc>
          <w:tcPr>
            <w:tcW w:type="dxa" w:w="1234"/>
          </w:tcPr>
          <w:p>
            <w:r>
              <w:rPr>
                <w:rFonts w:ascii="Calibri" w:hAnsi="Calibri"/>
                <w:sz w:val="22"/>
              </w:rPr>
              <w:t>+0.03%</w:t>
            </w:r>
          </w:p>
        </w:tc>
        <w:tc>
          <w:tcPr>
            <w:tcW w:type="dxa" w:w="1234"/>
          </w:tcPr>
          <w:p>
            <w:r>
              <w:rPr>
                <w:rFonts w:ascii="Calibri" w:hAnsi="Calibri"/>
                <w:sz w:val="22"/>
              </w:rPr>
              <w:t>-147 bps YoY</w:t>
            </w:r>
          </w:p>
        </w:tc>
        <w:tc>
          <w:tcPr>
            <w:tcW w:type="dxa" w:w="1234"/>
          </w:tcPr>
          <w:p>
            <w:r>
              <w:rPr>
                <w:rFonts w:ascii="Calibri" w:hAnsi="Calibri"/>
                <w:sz w:val="22"/>
              </w:rPr>
              <w:t>1–3% (each remaining quarter)</w:t>
            </w:r>
          </w:p>
        </w:tc>
        <w:tc>
          <w:tcPr>
            <w:tcW w:type="dxa" w:w="1234"/>
          </w:tcPr>
          <w:p>
            <w:r>
              <w:rPr>
                <w:rFonts w:ascii="Calibri" w:hAnsi="Calibri"/>
                <w:sz w:val="22"/>
              </w:rPr>
              <w:t>-197 bps below midpoint (2%)</w:t>
            </w:r>
          </w:p>
        </w:tc>
      </w:tr>
      <w:tr>
        <w:tc>
          <w:tcPr>
            <w:tcW w:type="dxa" w:w="1234"/>
          </w:tcPr>
          <w:p>
            <w:r>
              <w:rPr>
                <w:rFonts w:ascii="Calibri" w:hAnsi="Calibri"/>
                <w:sz w:val="22"/>
              </w:rPr>
              <w:t>EPS — Diluted ($)</w:t>
            </w:r>
          </w:p>
        </w:tc>
        <w:tc>
          <w:tcPr>
            <w:tcW w:type="dxa" w:w="1234"/>
          </w:tcPr>
          <w:p>
            <w:r>
              <w:rPr>
                <w:rFonts w:ascii="Calibri" w:hAnsi="Calibri"/>
                <w:sz w:val="22"/>
              </w:rPr>
              <w:t>$0.31</w:t>
            </w:r>
          </w:p>
        </w:tc>
        <w:tc>
          <w:tcPr>
            <w:tcW w:type="dxa" w:w="1234"/>
          </w:tcPr>
          <w:p>
            <w:r>
              <w:rPr>
                <w:rFonts w:ascii="Calibri" w:hAnsi="Calibri"/>
                <w:sz w:val="22"/>
              </w:rPr>
              <w:t>$0.81</w:t>
            </w:r>
          </w:p>
        </w:tc>
        <w:tc>
          <w:tcPr>
            <w:tcW w:type="dxa" w:w="1234"/>
          </w:tcPr>
          <w:p>
            <w:r>
              <w:rPr>
                <w:rFonts w:ascii="Calibri" w:hAnsi="Calibri"/>
                <w:sz w:val="22"/>
              </w:rPr>
              <w:t>$0.82</w:t>
            </w:r>
          </w:p>
        </w:tc>
        <w:tc>
          <w:tcPr>
            <w:tcW w:type="dxa" w:w="1234"/>
          </w:tcPr>
          <w:p>
            <w:r>
              <w:rPr>
                <w:rFonts w:ascii="Calibri" w:hAnsi="Calibri"/>
                <w:sz w:val="22"/>
              </w:rPr>
              <w:t>+$0.01 / +1.2%</w:t>
            </w:r>
          </w:p>
        </w:tc>
        <w:tc>
          <w:tcPr>
            <w:tcW w:type="dxa" w:w="1234"/>
          </w:tcPr>
          <w:p>
            <w:r>
              <w:rPr>
                <w:rFonts w:ascii="Calibri" w:hAnsi="Calibri"/>
                <w:sz w:val="22"/>
              </w:rPr>
              <w:t>FY 2026: $2.13–$2.23 (mgmt); Q2 not separately guided</w:t>
            </w:r>
          </w:p>
        </w:tc>
        <w:tc>
          <w:tcPr>
            <w:tcW w:type="dxa" w:w="1234"/>
          </w:tcPr>
          <w:p>
            <w:r>
              <w:rPr>
                <w:rFonts w:ascii="Calibri" w:hAnsi="Calibri"/>
                <w:sz w:val="22"/>
              </w:rPr>
              <w:t>N/A (no Q2-specific EPS guidance)</w:t>
            </w:r>
          </w:p>
        </w:tc>
      </w:tr>
      <w:tr>
        <w:tc>
          <w:tcPr>
            <w:tcW w:type="dxa" w:w="1234"/>
          </w:tcPr>
          <w:p>
            <w:r>
              <w:rPr>
                <w:rFonts w:ascii="Calibri" w:hAnsi="Calibri"/>
                <w:sz w:val="22"/>
              </w:rPr>
              <w:t>Gross Profit ($B)</w:t>
            </w:r>
          </w:p>
        </w:tc>
        <w:tc>
          <w:tcPr>
            <w:tcW w:type="dxa" w:w="1234"/>
          </w:tcPr>
          <w:p>
            <w:r>
              <w:rPr>
                <w:rFonts w:ascii="Calibri" w:hAnsi="Calibri"/>
                <w:sz w:val="22"/>
              </w:rPr>
              <w:t>$1.301B</w:t>
            </w:r>
          </w:p>
        </w:tc>
        <w:tc>
          <w:tcPr>
            <w:tcW w:type="dxa" w:w="1234"/>
          </w:tcPr>
          <w:p>
            <w:r>
              <w:rPr>
                <w:rFonts w:ascii="Calibri" w:hAnsi="Calibri"/>
                <w:sz w:val="22"/>
              </w:rPr>
              <w:t>$1.640B</w:t>
            </w:r>
          </w:p>
        </w:tc>
        <w:tc>
          <w:tcPr>
            <w:tcW w:type="dxa" w:w="1234"/>
          </w:tcPr>
          <w:p>
            <w:r>
              <w:rPr>
                <w:rFonts w:ascii="Calibri" w:hAnsi="Calibri"/>
                <w:sz w:val="22"/>
              </w:rPr>
              <w:t>$1.696B</w:t>
            </w:r>
          </w:p>
        </w:tc>
        <w:tc>
          <w:tcPr>
            <w:tcW w:type="dxa" w:w="1234"/>
          </w:tcPr>
          <w:p>
            <w:r>
              <w:rPr>
                <w:rFonts w:ascii="Calibri" w:hAnsi="Calibri"/>
                <w:sz w:val="22"/>
              </w:rPr>
              <w:t>+3.4%</w:t>
            </w:r>
          </w:p>
        </w:tc>
        <w:tc>
          <w:tcPr>
            <w:tcW w:type="dxa" w:w="1234"/>
          </w:tcPr>
          <w:p>
            <w:r>
              <w:rPr>
                <w:rFonts w:ascii="Calibri" w:hAnsi="Calibri"/>
                <w:sz w:val="22"/>
              </w:rPr>
              <w:t>FY gross margin expansion expected; H2 stronger</w:t>
            </w:r>
          </w:p>
        </w:tc>
        <w:tc>
          <w:tcPr>
            <w:tcW w:type="dxa" w:w="1234"/>
          </w:tcPr>
          <w:p>
            <w:r>
              <w:rPr>
                <w:rFonts w:ascii="Calibri" w:hAnsi="Calibri"/>
                <w:sz w:val="22"/>
              </w:rPr>
              <w:t>N/A (no Q2-specific gross margin guidance)</w:t>
            </w:r>
          </w:p>
        </w:tc>
      </w:tr>
      <w:tr>
        <w:tc>
          <w:tcPr>
            <w:tcW w:type="dxa" w:w="1234"/>
          </w:tcPr>
          <w:p>
            <w:r>
              <w:rPr>
                <w:rFonts w:ascii="Calibri" w:hAnsi="Calibri"/>
                <w:sz w:val="22"/>
              </w:rPr>
              <w:t>SG&amp;A ($B)</w:t>
            </w:r>
          </w:p>
        </w:tc>
        <w:tc>
          <w:tcPr>
            <w:tcW w:type="dxa" w:w="1234"/>
          </w:tcPr>
          <w:p>
            <w:r>
              <w:rPr>
                <w:rFonts w:ascii="Calibri" w:hAnsi="Calibri"/>
                <w:sz w:val="22"/>
              </w:rPr>
              <w:t>$0.941B</w:t>
            </w:r>
          </w:p>
        </w:tc>
        <w:tc>
          <w:tcPr>
            <w:tcW w:type="dxa" w:w="1234"/>
          </w:tcPr>
          <w:p>
            <w:r>
              <w:rPr>
                <w:rFonts w:ascii="Calibri" w:hAnsi="Calibri"/>
                <w:sz w:val="22"/>
              </w:rPr>
              <w:t>$0.940B</w:t>
            </w:r>
          </w:p>
        </w:tc>
        <w:tc>
          <w:tcPr>
            <w:tcW w:type="dxa" w:w="1234"/>
          </w:tcPr>
          <w:p>
            <w:r>
              <w:rPr>
                <w:rFonts w:ascii="Calibri" w:hAnsi="Calibri"/>
                <w:sz w:val="22"/>
              </w:rPr>
              <w:t>$0.993B</w:t>
            </w:r>
          </w:p>
        </w:tc>
        <w:tc>
          <w:tcPr>
            <w:tcW w:type="dxa" w:w="1234"/>
          </w:tcPr>
          <w:p>
            <w:r>
              <w:rPr>
                <w:rFonts w:ascii="Calibri" w:hAnsi="Calibri"/>
                <w:sz w:val="22"/>
              </w:rPr>
              <w:t>+5.6%</w:t>
            </w:r>
          </w:p>
        </w:tc>
        <w:tc>
          <w:tcPr>
            <w:tcW w:type="dxa" w:w="1234"/>
          </w:tcPr>
          <w:p>
            <w:r>
              <w:rPr>
                <w:rFonts w:ascii="Calibri" w:hAnsi="Calibri"/>
                <w:sz w:val="22"/>
              </w:rPr>
              <w:t>Deleverage expected below breakeven comp; strategic investment ongoing</w:t>
            </w:r>
          </w:p>
        </w:tc>
        <w:tc>
          <w:tcPr>
            <w:tcW w:type="dxa" w:w="1234"/>
          </w:tcPr>
          <w:p>
            <w:r>
              <w:rPr>
                <w:rFonts w:ascii="Calibri" w:hAnsi="Calibri"/>
                <w:sz w:val="22"/>
              </w:rPr>
              <w:t>N/A</w:t>
            </w:r>
          </w:p>
        </w:tc>
      </w:tr>
      <w:tr>
        <w:tc>
          <w:tcPr>
            <w:tcW w:type="dxa" w:w="1234"/>
          </w:tcPr>
          <w:p>
            <w:r>
              <w:rPr>
                <w:rFonts w:ascii="Calibri" w:hAnsi="Calibri"/>
                <w:sz w:val="22"/>
              </w:rPr>
              <w:t>Operating Income ($M)</w:t>
            </w:r>
          </w:p>
        </w:tc>
        <w:tc>
          <w:tcPr>
            <w:tcW w:type="dxa" w:w="1234"/>
          </w:tcPr>
          <w:p>
            <w:r>
              <w:rPr>
                <w:rFonts w:ascii="Calibri" w:hAnsi="Calibri"/>
                <w:sz w:val="22"/>
              </w:rPr>
              <w:t>$233M</w:t>
            </w:r>
          </w:p>
        </w:tc>
        <w:tc>
          <w:tcPr>
            <w:tcW w:type="dxa" w:w="1234"/>
          </w:tcPr>
          <w:p>
            <w:r>
              <w:rPr>
                <w:rFonts w:ascii="Calibri" w:hAnsi="Calibri"/>
                <w:sz w:val="22"/>
              </w:rPr>
              <w:t>$578M</w:t>
            </w:r>
          </w:p>
        </w:tc>
        <w:tc>
          <w:tcPr>
            <w:tcW w:type="dxa" w:w="1234"/>
          </w:tcPr>
          <w:p>
            <w:r>
              <w:rPr>
                <w:rFonts w:ascii="Calibri" w:hAnsi="Calibri"/>
                <w:sz w:val="22"/>
              </w:rPr>
              <w:t>$574M</w:t>
            </w:r>
          </w:p>
        </w:tc>
        <w:tc>
          <w:tcPr>
            <w:tcW w:type="dxa" w:w="1234"/>
          </w:tcPr>
          <w:p>
            <w:r>
              <w:rPr>
                <w:rFonts w:ascii="Calibri" w:hAnsi="Calibri"/>
                <w:sz w:val="22"/>
              </w:rPr>
              <w:t>-0.7%</w:t>
            </w:r>
          </w:p>
        </w:tc>
        <w:tc>
          <w:tcPr>
            <w:tcW w:type="dxa" w:w="1234"/>
          </w:tcPr>
          <w:p>
            <w:r>
              <w:rPr>
                <w:rFonts w:ascii="Calibri" w:hAnsi="Calibri"/>
                <w:sz w:val="22"/>
              </w:rPr>
              <w:t>FY operating margin 9.3–9.6%</w:t>
            </w:r>
          </w:p>
        </w:tc>
        <w:tc>
          <w:tcPr>
            <w:tcW w:type="dxa" w:w="1234"/>
          </w:tcPr>
          <w:p>
            <w:r>
              <w:rPr>
                <w:rFonts w:ascii="Calibri" w:hAnsi="Calibri"/>
                <w:sz w:val="22"/>
              </w:rPr>
              <w:t>N/A (no Q2-specific op. income guidance)</w:t>
            </w:r>
          </w:p>
        </w:tc>
      </w:tr>
      <w:tr>
        <w:tc>
          <w:tcPr>
            <w:tcW w:type="dxa" w:w="1234"/>
          </w:tcPr>
          <w:p>
            <w:r>
              <w:rPr>
                <w:rFonts w:ascii="Calibri" w:hAnsi="Calibri"/>
                <w:sz w:val="22"/>
              </w:rPr>
              <w:t>EBITDA ($M)</w:t>
            </w:r>
          </w:p>
        </w:tc>
        <w:tc>
          <w:tcPr>
            <w:tcW w:type="dxa" w:w="1234"/>
          </w:tcPr>
          <w:p>
            <w:r>
              <w:rPr>
                <w:rFonts w:ascii="Calibri" w:hAnsi="Calibri"/>
                <w:sz w:val="22"/>
              </w:rPr>
              <w:t>$360M</w:t>
            </w:r>
          </w:p>
        </w:tc>
        <w:tc>
          <w:tcPr>
            <w:tcW w:type="dxa" w:w="1234"/>
          </w:tcPr>
          <w:p>
            <w:r>
              <w:rPr>
                <w:rFonts w:ascii="Calibri" w:hAnsi="Calibri"/>
                <w:sz w:val="22"/>
              </w:rPr>
              <w:t>$700M</w:t>
            </w:r>
          </w:p>
        </w:tc>
        <w:tc>
          <w:tcPr>
            <w:tcW w:type="dxa" w:w="1234"/>
          </w:tcPr>
          <w:p>
            <w:r>
              <w:rPr>
                <w:rFonts w:ascii="Calibri" w:hAnsi="Calibri"/>
                <w:sz w:val="22"/>
              </w:rPr>
              <w:t>$704M</w:t>
            </w:r>
          </w:p>
        </w:tc>
        <w:tc>
          <w:tcPr>
            <w:tcW w:type="dxa" w:w="1234"/>
          </w:tcPr>
          <w:p>
            <w:r>
              <w:rPr>
                <w:rFonts w:ascii="Calibri" w:hAnsi="Calibri"/>
                <w:sz w:val="22"/>
              </w:rPr>
              <w:t>+0.6%</w:t>
            </w:r>
          </w:p>
        </w:tc>
        <w:tc>
          <w:tcPr>
            <w:tcW w:type="dxa" w:w="1234"/>
          </w:tcPr>
          <w:p>
            <w:r>
              <w:rPr>
                <w:rFonts w:ascii="Calibri" w:hAnsi="Calibri"/>
                <w:sz w:val="22"/>
              </w:rPr>
              <w:t>N/A (no Q2-specific EBITDA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22, 2026. Q2 2026 = fiscal quarter ending June 30,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(1) Comp Store Sales Growth | (2) EPS — Diluted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Comp Sales Growth</w:t>
            </w:r>
          </w:p>
        </w:tc>
        <w:tc>
          <w:tcPr>
            <w:tcW w:type="dxa" w:w="1440"/>
          </w:tcPr>
          <w:p>
            <w:r>
              <w:rPr>
                <w:rFonts w:ascii="Calibri" w:hAnsi="Calibri"/>
                <w:sz w:val="22"/>
              </w:rPr>
              <w:t>+0.5%</w:t>
            </w:r>
          </w:p>
        </w:tc>
        <w:tc>
          <w:tcPr>
            <w:tcW w:type="dxa" w:w="1440"/>
          </w:tcPr>
          <w:p>
            <w:r>
              <w:rPr>
                <w:rFonts w:ascii="Calibri" w:hAnsi="Calibri"/>
                <w:sz w:val="22"/>
              </w:rPr>
              <w:t>+1.57%</w:t>
            </w:r>
          </w:p>
        </w:tc>
        <w:tc>
          <w:tcPr>
            <w:tcW w:type="dxa" w:w="1440"/>
          </w:tcPr>
          <w:p>
            <w:r>
              <w:rPr>
                <w:rFonts w:ascii="Calibri" w:hAnsi="Calibri"/>
                <w:b/>
                <w:color w:val="E5484D"/>
                <w:sz w:val="22"/>
              </w:rPr>
              <w:t>-107 bps</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EPS — Diluted</w:t>
            </w:r>
          </w:p>
        </w:tc>
        <w:tc>
          <w:tcPr>
            <w:tcW w:type="dxa" w:w="1440"/>
          </w:tcPr>
          <w:p>
            <w:r>
              <w:rPr>
                <w:rFonts w:ascii="Calibri" w:hAnsi="Calibri"/>
                <w:sz w:val="22"/>
              </w:rPr>
              <w:t>$0.31</w:t>
            </w:r>
          </w:p>
        </w:tc>
        <w:tc>
          <w:tcPr>
            <w:tcW w:type="dxa" w:w="1440"/>
          </w:tcPr>
          <w:p>
            <w:r>
              <w:rPr>
                <w:rFonts w:ascii="Calibri" w:hAnsi="Calibri"/>
                <w:sz w:val="22"/>
              </w:rPr>
              <w:t>$0.34</w:t>
            </w:r>
          </w:p>
        </w:tc>
        <w:tc>
          <w:tcPr>
            <w:tcW w:type="dxa" w:w="1440"/>
          </w:tcPr>
          <w:p>
            <w:r>
              <w:rPr>
                <w:rFonts w:ascii="Calibri" w:hAnsi="Calibri"/>
                <w:b/>
                <w:color w:val="E5484D"/>
                <w:sz w:val="22"/>
              </w:rPr>
              <w:t>-$0.03 / -8.8%</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Comp Sales Growth</w:t>
            </w:r>
          </w:p>
        </w:tc>
        <w:tc>
          <w:tcPr>
            <w:tcW w:type="dxa" w:w="1440"/>
          </w:tcPr>
          <w:p>
            <w:r>
              <w:rPr>
                <w:rFonts w:ascii="Calibri" w:hAnsi="Calibri"/>
                <w:sz w:val="22"/>
              </w:rPr>
              <w:t>+0.3%</w:t>
            </w:r>
          </w:p>
        </w:tc>
        <w:tc>
          <w:tcPr>
            <w:tcW w:type="dxa" w:w="1440"/>
          </w:tcPr>
          <w:p>
            <w:r>
              <w:rPr>
                <w:rFonts w:ascii="Calibri" w:hAnsi="Calibri"/>
                <w:sz w:val="22"/>
              </w:rPr>
              <w:t>+2.28%</w:t>
            </w:r>
          </w:p>
        </w:tc>
        <w:tc>
          <w:tcPr>
            <w:tcW w:type="dxa" w:w="1440"/>
          </w:tcPr>
          <w:p>
            <w:r>
              <w:rPr>
                <w:rFonts w:ascii="Calibri" w:hAnsi="Calibri"/>
                <w:b/>
                <w:color w:val="E5484D"/>
                <w:sz w:val="22"/>
              </w:rPr>
              <w:t>-198 bps</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EPS — Diluted</w:t>
            </w:r>
          </w:p>
        </w:tc>
        <w:tc>
          <w:tcPr>
            <w:tcW w:type="dxa" w:w="1440"/>
          </w:tcPr>
          <w:p>
            <w:r>
              <w:rPr>
                <w:rFonts w:ascii="Calibri" w:hAnsi="Calibri"/>
                <w:sz w:val="22"/>
              </w:rPr>
              <w:t>$0.43</w:t>
            </w:r>
          </w:p>
        </w:tc>
        <w:tc>
          <w:tcPr>
            <w:tcW w:type="dxa" w:w="1440"/>
          </w:tcPr>
          <w:p>
            <w:r>
              <w:rPr>
                <w:rFonts w:ascii="Calibri" w:hAnsi="Calibri"/>
                <w:sz w:val="22"/>
              </w:rPr>
              <w:t>$0.46</w:t>
            </w:r>
          </w:p>
        </w:tc>
        <w:tc>
          <w:tcPr>
            <w:tcW w:type="dxa" w:w="1440"/>
          </w:tcPr>
          <w:p>
            <w:r>
              <w:rPr>
                <w:rFonts w:ascii="Calibri" w:hAnsi="Calibri"/>
                <w:b/>
                <w:color w:val="E5484D"/>
                <w:sz w:val="22"/>
              </w:rPr>
              <w:t>-$0.03 / -6.5%</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Comp Sales Growth</w:t>
            </w:r>
          </w:p>
        </w:tc>
        <w:tc>
          <w:tcPr>
            <w:tcW w:type="dxa" w:w="1440"/>
          </w:tcPr>
          <w:p>
            <w:r>
              <w:rPr>
                <w:rFonts w:ascii="Calibri" w:hAnsi="Calibri"/>
                <w:sz w:val="22"/>
              </w:rPr>
              <w:t>+3.9%</w:t>
            </w:r>
          </w:p>
        </w:tc>
        <w:tc>
          <w:tcPr>
            <w:tcW w:type="dxa" w:w="1440"/>
          </w:tcPr>
          <w:p>
            <w:r>
              <w:rPr>
                <w:rFonts w:ascii="Calibri" w:hAnsi="Calibri"/>
                <w:sz w:val="22"/>
              </w:rPr>
              <w:t>+3.22%</w:t>
            </w:r>
          </w:p>
        </w:tc>
        <w:tc>
          <w:tcPr>
            <w:tcW w:type="dxa" w:w="1440"/>
          </w:tcPr>
          <w:p>
            <w:r>
              <w:rPr>
                <w:rFonts w:ascii="Calibri" w:hAnsi="Calibri"/>
                <w:b/>
                <w:color w:val="30A46C"/>
                <w:sz w:val="22"/>
              </w:rPr>
              <w:t>+68 bps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EPS — Diluted</w:t>
            </w:r>
          </w:p>
        </w:tc>
        <w:tc>
          <w:tcPr>
            <w:tcW w:type="dxa" w:w="1440"/>
          </w:tcPr>
          <w:p>
            <w:r>
              <w:rPr>
                <w:rFonts w:ascii="Calibri" w:hAnsi="Calibri"/>
                <w:sz w:val="22"/>
              </w:rPr>
              <w:t>$0.49</w:t>
            </w:r>
          </w:p>
        </w:tc>
        <w:tc>
          <w:tcPr>
            <w:tcW w:type="dxa" w:w="1440"/>
          </w:tcPr>
          <w:p>
            <w:r>
              <w:rPr>
                <w:rFonts w:ascii="Calibri" w:hAnsi="Calibri"/>
                <w:sz w:val="22"/>
              </w:rPr>
              <w:t>$0.48</w:t>
            </w:r>
          </w:p>
        </w:tc>
        <w:tc>
          <w:tcPr>
            <w:tcW w:type="dxa" w:w="1440"/>
          </w:tcPr>
          <w:p>
            <w:r>
              <w:rPr>
                <w:rFonts w:ascii="Calibri" w:hAnsi="Calibri"/>
                <w:b/>
                <w:color w:val="30A46C"/>
                <w:sz w:val="22"/>
              </w:rPr>
              <w:t>+$0.01 / +2.1%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Comp Sales Growth</w:t>
            </w:r>
          </w:p>
        </w:tc>
        <w:tc>
          <w:tcPr>
            <w:tcW w:type="dxa" w:w="1440"/>
          </w:tcPr>
          <w:p>
            <w:r>
              <w:rPr>
                <w:rFonts w:ascii="Calibri" w:hAnsi="Calibri"/>
                <w:sz w:val="22"/>
              </w:rPr>
              <w:t>+1.5%</w:t>
            </w:r>
          </w:p>
        </w:tc>
        <w:tc>
          <w:tcPr>
            <w:tcW w:type="dxa" w:w="1440"/>
          </w:tcPr>
          <w:p>
            <w:r>
              <w:rPr>
                <w:rFonts w:ascii="Calibri" w:hAnsi="Calibri"/>
                <w:sz w:val="22"/>
              </w:rPr>
              <w:t>+0.60%</w:t>
            </w:r>
          </w:p>
        </w:tc>
        <w:tc>
          <w:tcPr>
            <w:tcW w:type="dxa" w:w="1440"/>
          </w:tcPr>
          <w:p>
            <w:r>
              <w:rPr>
                <w:rFonts w:ascii="Calibri" w:hAnsi="Calibri"/>
                <w:b/>
                <w:color w:val="30A46C"/>
                <w:sz w:val="22"/>
              </w:rPr>
              <w:t>+90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EPS — Diluted</w:t>
            </w:r>
          </w:p>
        </w:tc>
        <w:tc>
          <w:tcPr>
            <w:tcW w:type="dxa" w:w="1440"/>
          </w:tcPr>
          <w:p>
            <w:r>
              <w:rPr>
                <w:rFonts w:ascii="Calibri" w:hAnsi="Calibri"/>
                <w:sz w:val="22"/>
              </w:rPr>
              <w:t>$0.81</w:t>
            </w:r>
          </w:p>
        </w:tc>
        <w:tc>
          <w:tcPr>
            <w:tcW w:type="dxa" w:w="1440"/>
          </w:tcPr>
          <w:p>
            <w:r>
              <w:rPr>
                <w:rFonts w:ascii="Calibri" w:hAnsi="Calibri"/>
                <w:sz w:val="22"/>
              </w:rPr>
              <w:t>$0.80</w:t>
            </w:r>
          </w:p>
        </w:tc>
        <w:tc>
          <w:tcPr>
            <w:tcW w:type="dxa" w:w="1440"/>
          </w:tcPr>
          <w:p>
            <w:r>
              <w:rPr>
                <w:rFonts w:ascii="Calibri" w:hAnsi="Calibri"/>
                <w:b/>
                <w:color w:val="30A46C"/>
                <w:sz w:val="22"/>
              </w:rPr>
              <w:t>+$0.01 / +1.2%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Comp Sales Growth</w:t>
            </w:r>
          </w:p>
        </w:tc>
        <w:tc>
          <w:tcPr>
            <w:tcW w:type="dxa" w:w="1440"/>
          </w:tcPr>
          <w:p>
            <w:r>
              <w:rPr>
                <w:rFonts w:ascii="Calibri" w:hAnsi="Calibri"/>
                <w:sz w:val="22"/>
              </w:rPr>
              <w:t>-0.9%</w:t>
            </w:r>
          </w:p>
        </w:tc>
        <w:tc>
          <w:tcPr>
            <w:tcW w:type="dxa" w:w="1440"/>
          </w:tcPr>
          <w:p>
            <w:r>
              <w:rPr>
                <w:rFonts w:ascii="Calibri" w:hAnsi="Calibri"/>
                <w:sz w:val="22"/>
              </w:rPr>
              <w:t>+0.86%</w:t>
            </w:r>
          </w:p>
        </w:tc>
        <w:tc>
          <w:tcPr>
            <w:tcW w:type="dxa" w:w="1440"/>
          </w:tcPr>
          <w:p>
            <w:r>
              <w:rPr>
                <w:rFonts w:ascii="Calibri" w:hAnsi="Calibri"/>
                <w:b/>
                <w:color w:val="E5484D"/>
                <w:sz w:val="22"/>
              </w:rPr>
              <w:t>-176 bps</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EPS — Diluted</w:t>
            </w:r>
          </w:p>
        </w:tc>
        <w:tc>
          <w:tcPr>
            <w:tcW w:type="dxa" w:w="1440"/>
          </w:tcPr>
          <w:p>
            <w:r>
              <w:rPr>
                <w:rFonts w:ascii="Calibri" w:hAnsi="Calibri"/>
                <w:sz w:val="22"/>
              </w:rPr>
              <w:t>$0.34</w:t>
            </w:r>
          </w:p>
        </w:tc>
        <w:tc>
          <w:tcPr>
            <w:tcW w:type="dxa" w:w="1440"/>
          </w:tcPr>
          <w:p>
            <w:r>
              <w:rPr>
                <w:rFonts w:ascii="Calibri" w:hAnsi="Calibri"/>
                <w:sz w:val="22"/>
              </w:rPr>
              <w:t>$0.37</w:t>
            </w:r>
          </w:p>
        </w:tc>
        <w:tc>
          <w:tcPr>
            <w:tcW w:type="dxa" w:w="1440"/>
          </w:tcPr>
          <w:p>
            <w:r>
              <w:rPr>
                <w:rFonts w:ascii="Calibri" w:hAnsi="Calibri"/>
                <w:b/>
                <w:color w:val="E5484D"/>
                <w:sz w:val="22"/>
              </w:rPr>
              <w:t>-$0.03 / -8.1%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Comp Sales Growth</w:t>
            </w:r>
          </w:p>
        </w:tc>
        <w:tc>
          <w:tcPr>
            <w:tcW w:type="dxa" w:w="1440"/>
          </w:tcPr>
          <w:p>
            <w:r>
              <w:rPr>
                <w:rFonts w:ascii="Calibri" w:hAnsi="Calibri"/>
                <w:sz w:val="22"/>
              </w:rPr>
              <w:t>+0.6%</w:t>
            </w:r>
          </w:p>
        </w:tc>
        <w:tc>
          <w:tcPr>
            <w:tcW w:type="dxa" w:w="1440"/>
          </w:tcPr>
          <w:p>
            <w:r>
              <w:rPr>
                <w:rFonts w:ascii="Calibri" w:hAnsi="Calibri"/>
                <w:sz w:val="22"/>
              </w:rPr>
              <w:t>+1.54%</w:t>
            </w:r>
          </w:p>
        </w:tc>
        <w:tc>
          <w:tcPr>
            <w:tcW w:type="dxa" w:w="1440"/>
          </w:tcPr>
          <w:p>
            <w:r>
              <w:rPr>
                <w:rFonts w:ascii="Calibri" w:hAnsi="Calibri"/>
                <w:b/>
                <w:color w:val="E5484D"/>
                <w:sz w:val="22"/>
              </w:rPr>
              <w:t>-94 bps</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EPS — Diluted</w:t>
            </w:r>
          </w:p>
        </w:tc>
        <w:tc>
          <w:tcPr>
            <w:tcW w:type="dxa" w:w="1440"/>
          </w:tcPr>
          <w:p>
            <w:r>
              <w:rPr>
                <w:rFonts w:ascii="Calibri" w:hAnsi="Calibri"/>
                <w:sz w:val="22"/>
              </w:rPr>
              <w:t>$0.44</w:t>
            </w:r>
          </w:p>
        </w:tc>
        <w:tc>
          <w:tcPr>
            <w:tcW w:type="dxa" w:w="1440"/>
          </w:tcPr>
          <w:p>
            <w:r>
              <w:rPr>
                <w:rFonts w:ascii="Calibri" w:hAnsi="Calibri"/>
                <w:sz w:val="22"/>
              </w:rPr>
              <w:t>$0.45</w:t>
            </w:r>
          </w:p>
        </w:tc>
        <w:tc>
          <w:tcPr>
            <w:tcW w:type="dxa" w:w="1440"/>
          </w:tcPr>
          <w:p>
            <w:r>
              <w:rPr>
                <w:rFonts w:ascii="Calibri" w:hAnsi="Calibri"/>
                <w:b/>
                <w:color w:val="E5484D"/>
                <w:sz w:val="22"/>
              </w:rPr>
              <w:t>-$0.01 / -2.2%</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Comp Sales Growth</w:t>
            </w:r>
          </w:p>
        </w:tc>
        <w:tc>
          <w:tcPr>
            <w:tcW w:type="dxa" w:w="1440"/>
          </w:tcPr>
          <w:p>
            <w:r>
              <w:rPr>
                <w:rFonts w:ascii="Calibri" w:hAnsi="Calibri"/>
                <w:sz w:val="22"/>
              </w:rPr>
              <w:t>-0.2%</w:t>
            </w:r>
          </w:p>
        </w:tc>
        <w:tc>
          <w:tcPr>
            <w:tcW w:type="dxa" w:w="1440"/>
          </w:tcPr>
          <w:p>
            <w:r>
              <w:rPr>
                <w:rFonts w:ascii="Calibri" w:hAnsi="Calibri"/>
                <w:sz w:val="22"/>
              </w:rPr>
              <w:t>+0.23%</w:t>
            </w:r>
          </w:p>
        </w:tc>
        <w:tc>
          <w:tcPr>
            <w:tcW w:type="dxa" w:w="1440"/>
          </w:tcPr>
          <w:p>
            <w:r>
              <w:rPr>
                <w:rFonts w:ascii="Calibri" w:hAnsi="Calibri"/>
                <w:b/>
                <w:color w:val="E5484D"/>
                <w:sz w:val="22"/>
              </w:rPr>
              <w:t>-43 bps</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EPS — Diluted</w:t>
            </w:r>
          </w:p>
        </w:tc>
        <w:tc>
          <w:tcPr>
            <w:tcW w:type="dxa" w:w="1440"/>
          </w:tcPr>
          <w:p>
            <w:r>
              <w:rPr>
                <w:rFonts w:ascii="Calibri" w:hAnsi="Calibri"/>
                <w:sz w:val="22"/>
              </w:rPr>
              <w:t>$0.45</w:t>
            </w:r>
          </w:p>
        </w:tc>
        <w:tc>
          <w:tcPr>
            <w:tcW w:type="dxa" w:w="1440"/>
          </w:tcPr>
          <w:p>
            <w:r>
              <w:rPr>
                <w:rFonts w:ascii="Calibri" w:hAnsi="Calibri"/>
                <w:sz w:val="22"/>
              </w:rPr>
              <w:t>$0.45</w:t>
            </w:r>
          </w:p>
        </w:tc>
        <w:tc>
          <w:tcPr>
            <w:tcW w:type="dxa" w:w="1440"/>
          </w:tcPr>
          <w:p>
            <w:r>
              <w:rPr>
                <w:rFonts w:ascii="Calibri" w:hAnsi="Calibri"/>
                <w:sz w:val="22"/>
              </w:rPr>
              <w:t>Flat / 0.0%</w:t>
            </w:r>
          </w:p>
        </w:tc>
        <w:tc>
          <w:tcPr>
            <w:tcW w:type="dxa" w:w="1440"/>
          </w:tcPr>
          <w:p>
            <w:r>
              <w:rPr>
                <w:rFonts w:ascii="Calibri" w:hAnsi="Calibri"/>
                <w:sz w:val="22"/>
              </w:rPr>
              <w:t>IN LINE</w:t>
            </w:r>
          </w:p>
        </w:tc>
      </w:tr>
      <w:tr>
        <w:tc>
          <w:tcPr>
            <w:tcW w:type="dxa" w:w="1440"/>
          </w:tcPr>
          <w:p>
            <w:r>
              <w:rPr>
                <w:rFonts w:ascii="Calibri" w:hAnsi="Calibri"/>
                <w:sz w:val="22"/>
              </w:rPr>
              <w:t>Q2 2024</w:t>
            </w:r>
          </w:p>
        </w:tc>
        <w:tc>
          <w:tcPr>
            <w:tcW w:type="dxa" w:w="1440"/>
          </w:tcPr>
          <w:p>
            <w:r>
              <w:rPr>
                <w:rFonts w:ascii="Calibri" w:hAnsi="Calibri"/>
                <w:sz w:val="22"/>
              </w:rPr>
              <w:t>Comp Sales Growth</w:t>
            </w:r>
          </w:p>
        </w:tc>
        <w:tc>
          <w:tcPr>
            <w:tcW w:type="dxa" w:w="1440"/>
          </w:tcPr>
          <w:p>
            <w:r>
              <w:rPr>
                <w:rFonts w:ascii="Calibri" w:hAnsi="Calibri"/>
                <w:sz w:val="22"/>
              </w:rPr>
              <w:t>-0.5%</w:t>
            </w:r>
          </w:p>
        </w:tc>
        <w:tc>
          <w:tcPr>
            <w:tcW w:type="dxa" w:w="1440"/>
          </w:tcPr>
          <w:p>
            <w:r>
              <w:rPr>
                <w:rFonts w:ascii="Calibri" w:hAnsi="Calibri"/>
                <w:sz w:val="22"/>
              </w:rPr>
              <w:t>+0.47%</w:t>
            </w:r>
          </w:p>
        </w:tc>
        <w:tc>
          <w:tcPr>
            <w:tcW w:type="dxa" w:w="1440"/>
          </w:tcPr>
          <w:p>
            <w:r>
              <w:rPr>
                <w:rFonts w:ascii="Calibri" w:hAnsi="Calibri"/>
                <w:b/>
                <w:color w:val="E5484D"/>
                <w:sz w:val="22"/>
              </w:rPr>
              <w:t>-97 bps</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EPS — Diluted</w:t>
            </w:r>
          </w:p>
        </w:tc>
        <w:tc>
          <w:tcPr>
            <w:tcW w:type="dxa" w:w="1440"/>
          </w:tcPr>
          <w:p>
            <w:r>
              <w:rPr>
                <w:rFonts w:ascii="Calibri" w:hAnsi="Calibri"/>
                <w:sz w:val="22"/>
              </w:rPr>
              <w:t>$0.79</w:t>
            </w:r>
          </w:p>
        </w:tc>
        <w:tc>
          <w:tcPr>
            <w:tcW w:type="dxa" w:w="1440"/>
          </w:tcPr>
          <w:p>
            <w:r>
              <w:rPr>
                <w:rFonts w:ascii="Calibri" w:hAnsi="Calibri"/>
                <w:sz w:val="22"/>
              </w:rPr>
              <w:t>$0.79</w:t>
            </w:r>
          </w:p>
        </w:tc>
        <w:tc>
          <w:tcPr>
            <w:tcW w:type="dxa" w:w="1440"/>
          </w:tcPr>
          <w:p>
            <w:r>
              <w:rPr>
                <w:rFonts w:ascii="Calibri" w:hAnsi="Calibri"/>
                <w:sz w:val="22"/>
              </w:rPr>
              <w:t>Flat / 0.0%</w:t>
            </w:r>
          </w:p>
        </w:tc>
        <w:tc>
          <w:tcPr>
            <w:tcW w:type="dxa" w:w="1440"/>
          </w:tcPr>
          <w:p>
            <w:r>
              <w:rPr>
                <w:rFonts w:ascii="Calibri" w:hAnsi="Calibri"/>
                <w:sz w:val="22"/>
              </w:rPr>
              <w:t>IN LINE</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TSCO has missed on comp sales in 6 of the last 8 quarters, with the only beats coming in Q2 and Q3 2025 when the consumer environment briefly improved; the recent miss cadence (Q4 2025, Q1 2026) reflects the structural companion animal headwind and below-algorithm comp trajectory, making a clean beat on comp the exception rather than the rule.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since the Q1 2026 earnings call — management reaffirmed all full-year metrics and reiterated 1–3% comp for each remaining quarter. </w:t>
      </w:r>
      <w:r>
        <w:rPr>
          <w:rFonts w:ascii="Calibri" w:hAnsi="Calibri"/>
          <w:b/>
          <w:color w:val="525866"/>
          <w:sz w:val="22"/>
        </w:rPr>
        <w:t>No post-earnings revisions or 8-K updates have been filed</w:t>
      </w:r>
      <w:r>
        <w:rPr>
          <w:rFonts w:ascii="Calibri" w:hAnsi="Calibri"/>
          <w:color w:val="525866"/>
          <w:sz w:val="22"/>
        </w:rPr>
        <w:t>; the only corporate actions since Q1 were a $0.24 quarterly dividend declaration (May 14) and routine annual meeting items (May 15).</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Comp Store Sales Growth (FY 2026)</w:t>
            </w:r>
          </w:p>
        </w:tc>
        <w:tc>
          <w:tcPr>
            <w:tcW w:type="dxa" w:w="1728"/>
          </w:tcPr>
          <w:p>
            <w:r>
              <w:rPr>
                <w:rFonts w:ascii="Calibri" w:hAnsi="Calibri"/>
                <w:sz w:val="22"/>
              </w:rPr>
              <w:t>1–3% for each remaining quarter (Q2–Q4)</w:t>
            </w:r>
          </w:p>
        </w:tc>
        <w:tc>
          <w:tcPr>
            <w:tcW w:type="dxa" w:w="1728"/>
          </w:tcPr>
          <w:p>
            <w:r>
              <w:rPr>
                <w:rFonts w:ascii="Calibri" w:hAnsi="Calibri"/>
                <w:sz w:val="22"/>
              </w:rPr>
              <w:t>—</w:t>
            </w:r>
          </w:p>
        </w:tc>
        <w:tc>
          <w:tcPr>
            <w:tcW w:type="dxa" w:w="1728"/>
          </w:tcPr>
          <w:p>
            <w:r>
              <w:rPr>
                <w:rFonts w:ascii="Calibri" w:hAnsi="Calibri"/>
                <w:sz w:val="22"/>
              </w:rPr>
              <w:t>+0.45% (FY); +0.03% (Q2)</w:t>
            </w:r>
          </w:p>
        </w:tc>
        <w:tc>
          <w:tcPr>
            <w:tcW w:type="dxa" w:w="1728"/>
          </w:tcPr>
          <w:p>
            <w:r>
              <w:rPr>
                <w:rFonts w:ascii="Calibri" w:hAnsi="Calibri"/>
                <w:sz w:val="22"/>
              </w:rPr>
              <w:t>Unchanged; consensus sits well below guidance midpoint of 2%</w:t>
            </w:r>
          </w:p>
        </w:tc>
      </w:tr>
      <w:tr>
        <w:tc>
          <w:tcPr>
            <w:tcW w:type="dxa" w:w="1728"/>
          </w:tcPr>
          <w:p>
            <w:r>
              <w:rPr>
                <w:rFonts w:ascii="Calibri" w:hAnsi="Calibri"/>
                <w:sz w:val="22"/>
              </w:rPr>
              <w:t>Net Sales (FY 2026)</w:t>
            </w:r>
          </w:p>
        </w:tc>
        <w:tc>
          <w:tcPr>
            <w:tcW w:type="dxa" w:w="1728"/>
          </w:tcPr>
          <w:p>
            <w:r>
              <w:rPr>
                <w:rFonts w:ascii="Calibri" w:hAnsi="Calibri"/>
                <w:sz w:val="22"/>
              </w:rPr>
              <w:t>~4–6% total sales growth; ~100 new stores</w:t>
            </w:r>
          </w:p>
        </w:tc>
        <w:tc>
          <w:tcPr>
            <w:tcW w:type="dxa" w:w="1728"/>
          </w:tcPr>
          <w:p>
            <w:r>
              <w:rPr>
                <w:rFonts w:ascii="Calibri" w:hAnsi="Calibri"/>
                <w:sz w:val="22"/>
              </w:rPr>
              <w:t>—</w:t>
            </w:r>
          </w:p>
        </w:tc>
        <w:tc>
          <w:tcPr>
            <w:tcW w:type="dxa" w:w="1728"/>
          </w:tcPr>
          <w:p>
            <w:r>
              <w:rPr>
                <w:rFonts w:ascii="Calibri" w:hAnsi="Calibri"/>
                <w:sz w:val="22"/>
              </w:rPr>
              <w:t>$16.07B</w:t>
            </w:r>
          </w:p>
        </w:tc>
        <w:tc>
          <w:tcPr>
            <w:tcW w:type="dxa" w:w="1728"/>
          </w:tcPr>
          <w:p>
            <w:r>
              <w:rPr>
                <w:rFonts w:ascii="Calibri" w:hAnsi="Calibri"/>
                <w:sz w:val="22"/>
              </w:rPr>
              <w:t>Unchanged; consensus broadly in line with guidance</w:t>
            </w:r>
          </w:p>
        </w:tc>
      </w:tr>
      <w:tr>
        <w:tc>
          <w:tcPr>
            <w:tcW w:type="dxa" w:w="1728"/>
          </w:tcPr>
          <w:p>
            <w:r>
              <w:rPr>
                <w:rFonts w:ascii="Calibri" w:hAnsi="Calibri"/>
                <w:sz w:val="22"/>
              </w:rPr>
              <w:t>EPS — Diluted (FY 2026)</w:t>
            </w:r>
          </w:p>
        </w:tc>
        <w:tc>
          <w:tcPr>
            <w:tcW w:type="dxa" w:w="1728"/>
          </w:tcPr>
          <w:p>
            <w:r>
              <w:rPr>
                <w:rFonts w:ascii="Calibri" w:hAnsi="Calibri"/>
                <w:sz w:val="22"/>
              </w:rPr>
              <w:t>$2.13–$2.23 (midpoint $2.18)</w:t>
            </w:r>
          </w:p>
        </w:tc>
        <w:tc>
          <w:tcPr>
            <w:tcW w:type="dxa" w:w="1728"/>
          </w:tcPr>
          <w:p>
            <w:r>
              <w:rPr>
                <w:rFonts w:ascii="Calibri" w:hAnsi="Calibri"/>
                <w:sz w:val="22"/>
              </w:rPr>
              <w:t>—</w:t>
            </w:r>
          </w:p>
        </w:tc>
        <w:tc>
          <w:tcPr>
            <w:tcW w:type="dxa" w:w="1728"/>
          </w:tcPr>
          <w:p>
            <w:r>
              <w:rPr>
                <w:rFonts w:ascii="Calibri" w:hAnsi="Calibri"/>
                <w:sz w:val="22"/>
              </w:rPr>
              <w:t>$2.05</w:t>
            </w:r>
          </w:p>
        </w:tc>
        <w:tc>
          <w:tcPr>
            <w:tcW w:type="dxa" w:w="1728"/>
          </w:tcPr>
          <w:p>
            <w:r>
              <w:rPr>
                <w:rFonts w:ascii="Calibri" w:hAnsi="Calibri"/>
                <w:sz w:val="22"/>
              </w:rPr>
              <w:t>Unchanged; consensus $0.13 below guidance midpoint; Street more skeptical than management</w:t>
            </w:r>
          </w:p>
        </w:tc>
      </w:tr>
      <w:tr>
        <w:tc>
          <w:tcPr>
            <w:tcW w:type="dxa" w:w="1728"/>
          </w:tcPr>
          <w:p>
            <w:r>
              <w:rPr>
                <w:rFonts w:ascii="Calibri" w:hAnsi="Calibri"/>
                <w:sz w:val="22"/>
              </w:rPr>
              <w:t>Operating Margin (FY 2026)</w:t>
            </w:r>
          </w:p>
        </w:tc>
        <w:tc>
          <w:tcPr>
            <w:tcW w:type="dxa" w:w="1728"/>
          </w:tcPr>
          <w:p>
            <w:r>
              <w:rPr>
                <w:rFonts w:ascii="Calibri" w:hAnsi="Calibri"/>
                <w:sz w:val="22"/>
              </w:rPr>
              <w:t>9.3–9.6%</w:t>
            </w:r>
          </w:p>
        </w:tc>
        <w:tc>
          <w:tcPr>
            <w:tcW w:type="dxa" w:w="1728"/>
          </w:tcPr>
          <w:p>
            <w:r>
              <w:rPr>
                <w:rFonts w:ascii="Calibri" w:hAnsi="Calibri"/>
                <w:sz w:val="22"/>
              </w:rPr>
              <w:t>—</w:t>
            </w:r>
          </w:p>
        </w:tc>
        <w:tc>
          <w:tcPr>
            <w:tcW w:type="dxa" w:w="1728"/>
          </w:tcPr>
          <w:p>
            <w:r>
              <w:rPr>
                <w:rFonts w:ascii="Calibri" w:hAnsi="Calibri"/>
                <w:sz w:val="22"/>
              </w:rPr>
              <w:t>~9.0% (implied by consensus)</w:t>
            </w:r>
          </w:p>
        </w:tc>
        <w:tc>
          <w:tcPr>
            <w:tcW w:type="dxa" w:w="1728"/>
          </w:tcPr>
          <w:p>
            <w:r>
              <w:rPr>
                <w:rFonts w:ascii="Calibri" w:hAnsi="Calibri"/>
                <w:sz w:val="22"/>
              </w:rPr>
              <w:t>Unchanged; consensus slightly below guidance floor</w:t>
            </w:r>
          </w:p>
        </w:tc>
      </w:tr>
      <w:tr>
        <w:tc>
          <w:tcPr>
            <w:tcW w:type="dxa" w:w="1728"/>
          </w:tcPr>
          <w:p>
            <w:r>
              <w:rPr>
                <w:rFonts w:ascii="Calibri" w:hAnsi="Calibri"/>
                <w:sz w:val="22"/>
              </w:rPr>
              <w:t>Gross Margin (FY 2026)</w:t>
            </w:r>
          </w:p>
        </w:tc>
        <w:tc>
          <w:tcPr>
            <w:tcW w:type="dxa" w:w="1728"/>
          </w:tcPr>
          <w:p>
            <w:r>
              <w:rPr>
                <w:rFonts w:ascii="Calibri" w:hAnsi="Calibri"/>
                <w:sz w:val="22"/>
              </w:rPr>
              <w:t>Modest expansion; H2 stronger as DC benefits flow through; tariff impact contained</w:t>
            </w:r>
          </w:p>
        </w:tc>
        <w:tc>
          <w:tcPr>
            <w:tcW w:type="dxa" w:w="1728"/>
          </w:tcPr>
          <w:p>
            <w:r>
              <w:rPr>
                <w:rFonts w:ascii="Calibri" w:hAnsi="Calibri"/>
                <w:sz w:val="22"/>
              </w:rPr>
              <w:t>—</w:t>
            </w:r>
          </w:p>
        </w:tc>
        <w:tc>
          <w:tcPr>
            <w:tcW w:type="dxa" w:w="1728"/>
          </w:tcPr>
          <w:p>
            <w:r>
              <w:rPr>
                <w:rFonts w:ascii="Calibri" w:hAnsi="Calibri"/>
                <w:sz w:val="22"/>
              </w:rPr>
              <w:t>~36.5% (FY implied)</w:t>
            </w:r>
          </w:p>
        </w:tc>
        <w:tc>
          <w:tcPr>
            <w:tcW w:type="dxa" w:w="1728"/>
          </w:tcPr>
          <w:p>
            <w:r>
              <w:rPr>
                <w:rFonts w:ascii="Calibri" w:hAnsi="Calibri"/>
                <w:sz w:val="22"/>
              </w:rPr>
              <w:t>Unchanged; fuel cost headwind flagged for Q2–Q3; management updated internal models for higher fuel</w:t>
            </w:r>
          </w:p>
        </w:tc>
      </w:tr>
      <w:tr>
        <w:tc>
          <w:tcPr>
            <w:tcW w:type="dxa" w:w="1728"/>
          </w:tcPr>
          <w:p>
            <w:r>
              <w:rPr>
                <w:rFonts w:ascii="Calibri" w:hAnsi="Calibri"/>
                <w:sz w:val="22"/>
              </w:rPr>
              <w:t>New Store Openings (FY 2026)</w:t>
            </w:r>
          </w:p>
        </w:tc>
        <w:tc>
          <w:tcPr>
            <w:tcW w:type="dxa" w:w="1728"/>
          </w:tcPr>
          <w:p>
            <w:r>
              <w:rPr>
                <w:rFonts w:ascii="Calibri" w:hAnsi="Calibri"/>
                <w:sz w:val="22"/>
              </w:rPr>
              <w:t>~100 new TSCO stores; record 40 opened in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new store productivity at high end of 65–70% range</w:t>
            </w:r>
          </w:p>
        </w:tc>
      </w:tr>
      <w:tr>
        <w:tc>
          <w:tcPr>
            <w:tcW w:type="dxa" w:w="1728"/>
          </w:tcPr>
          <w:p>
            <w:r>
              <w:rPr>
                <w:rFonts w:ascii="Calibri" w:hAnsi="Calibri"/>
                <w:sz w:val="22"/>
              </w:rPr>
              <w:t>Companion Animal Comp (FY 2026)</w:t>
            </w:r>
          </w:p>
        </w:tc>
        <w:tc>
          <w:tcPr>
            <w:tcW w:type="dxa" w:w="1728"/>
          </w:tcPr>
          <w:p>
            <w:r>
              <w:rPr>
                <w:rFonts w:ascii="Calibri" w:hAnsi="Calibri"/>
                <w:sz w:val="22"/>
              </w:rPr>
              <w:t>Flat to slight negative comp for full year; Q2 under-indexes vs. Q1 seasonally</w:t>
            </w:r>
          </w:p>
        </w:tc>
        <w:tc>
          <w:tcPr>
            <w:tcW w:type="dxa" w:w="1728"/>
          </w:tcPr>
          <w:p>
            <w:r>
              <w:rPr>
                <w:rFonts w:ascii="Calibri" w:hAnsi="Calibri"/>
                <w:sz w:val="22"/>
              </w:rPr>
              <w:t>—</w:t>
            </w:r>
          </w:p>
        </w:tc>
        <w:tc>
          <w:tcPr>
            <w:tcW w:type="dxa" w:w="1728"/>
          </w:tcPr>
          <w:p>
            <w:r>
              <w:rPr>
                <w:rFonts w:ascii="Calibri" w:hAnsi="Calibri"/>
                <w:sz w:val="22"/>
              </w:rPr>
              <w:t>N/A (not separately tracked by consensus)</w:t>
            </w:r>
          </w:p>
        </w:tc>
        <w:tc>
          <w:tcPr>
            <w:tcW w:type="dxa" w:w="1728"/>
          </w:tcPr>
          <w:p>
            <w:r>
              <w:rPr>
                <w:rFonts w:ascii="Calibri" w:hAnsi="Calibri"/>
                <w:sz w:val="22"/>
              </w:rPr>
              <w:t>Unchanged; Q2 seasonally less pet-heavy than Q1 (pet under-indexes in Q2 by ~5 pts)</w:t>
            </w:r>
          </w:p>
        </w:tc>
      </w:tr>
      <w:tr>
        <w:tc>
          <w:tcPr>
            <w:tcW w:type="dxa" w:w="1728"/>
          </w:tcPr>
          <w:p>
            <w:r>
              <w:rPr>
                <w:rFonts w:ascii="Calibri" w:hAnsi="Calibri"/>
                <w:sz w:val="22"/>
              </w:rPr>
              <w:t>Dividend</w:t>
            </w:r>
          </w:p>
        </w:tc>
        <w:tc>
          <w:tcPr>
            <w:tcW w:type="dxa" w:w="1728"/>
          </w:tcPr>
          <w:p>
            <w:r>
              <w:rPr>
                <w:rFonts w:ascii="Calibri" w:hAnsi="Calibri"/>
                <w:sz w:val="22"/>
              </w:rPr>
              <w:t>N/A (not guided on Q1 call)</w:t>
            </w:r>
          </w:p>
        </w:tc>
        <w:tc>
          <w:tcPr>
            <w:tcW w:type="dxa" w:w="1728"/>
          </w:tcPr>
          <w:p>
            <w:r>
              <w:rPr>
                <w:rFonts w:ascii="Calibri" w:hAnsi="Calibri"/>
                <w:sz w:val="22"/>
              </w:rPr>
              <w:t>$0.24/share quarterly dividend declared May 14, 2026</w:t>
            </w:r>
          </w:p>
        </w:tc>
        <w:tc>
          <w:tcPr>
            <w:tcW w:type="dxa" w:w="1728"/>
          </w:tcPr>
          <w:p>
            <w:r>
              <w:rPr>
                <w:rFonts w:ascii="Calibri" w:hAnsi="Calibri"/>
                <w:sz w:val="22"/>
              </w:rPr>
              <w:t>N/A</w:t>
            </w:r>
          </w:p>
        </w:tc>
        <w:tc>
          <w:tcPr>
            <w:tcW w:type="dxa" w:w="1728"/>
          </w:tcPr>
          <w:p>
            <w:r>
              <w:rPr>
                <w:rFonts w:ascii="Calibri" w:hAnsi="Calibri"/>
                <w:sz w:val="22"/>
              </w:rPr>
              <w:t>8-K filed May 14, 2026; routine capital return; no change to payout policy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meaningfully lower since the Q1 print — Q2 comp consensus fell from 1.6% to 0.03% and FY EPS slipped from $2.13 to $2.05 — </w:t>
      </w:r>
      <w:r>
        <w:rPr>
          <w:rFonts w:ascii="Calibri" w:hAnsi="Calibri"/>
          <w:b/>
          <w:color w:val="525866"/>
          <w:sz w:val="22"/>
        </w:rPr>
        <w:t>creating a widening gap between where the Street sits and where management guides</w:t>
      </w:r>
      <w:r>
        <w:rPr>
          <w:rFonts w:ascii="Calibri" w:hAnsi="Calibri"/>
          <w:color w:val="525866"/>
          <w:sz w:val="22"/>
        </w:rPr>
        <w:t>. This gap is either a cushion (if management is right) or a sign the Street has lost confidence in the guidance (if structural headwinds persist).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26,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Comp Sales Growth — Q2 2026</w:t>
            </w:r>
          </w:p>
        </w:tc>
        <w:tc>
          <w:tcPr>
            <w:tcW w:type="dxa" w:w="1080"/>
          </w:tcPr>
          <w:p>
            <w:r>
              <w:rPr>
                <w:rFonts w:ascii="Calibri" w:hAnsi="Calibri"/>
                <w:sz w:val="22"/>
              </w:rPr>
              <w:t>+1.62%</w:t>
            </w:r>
          </w:p>
        </w:tc>
        <w:tc>
          <w:tcPr>
            <w:tcW w:type="dxa" w:w="1080"/>
          </w:tcPr>
          <w:p>
            <w:r>
              <w:rPr>
                <w:rFonts w:ascii="Calibri" w:hAnsi="Calibri"/>
                <w:sz w:val="22"/>
              </w:rPr>
              <w:t>+0.03%</w:t>
            </w:r>
          </w:p>
        </w:tc>
        <w:tc>
          <w:tcPr>
            <w:tcW w:type="dxa" w:w="1080"/>
          </w:tcPr>
          <w:p>
            <w:r>
              <w:rPr>
                <w:rFonts w:ascii="Calibri" w:hAnsi="Calibri"/>
                <w:b/>
                <w:color w:val="E5484D"/>
                <w:sz w:val="22"/>
              </w:rPr>
              <w:t>-98.1%</w:t>
            </w:r>
          </w:p>
        </w:tc>
        <w:tc>
          <w:tcPr>
            <w:tcW w:type="dxa" w:w="1080"/>
          </w:tcPr>
          <w:p>
            <w:r>
              <w:rPr>
                <w:rFonts w:ascii="Calibri" w:hAnsi="Calibri"/>
                <w:sz w:val="22"/>
              </w:rPr>
              <w:t>1–3% (midpoint 2%)</w:t>
            </w:r>
          </w:p>
        </w:tc>
        <w:tc>
          <w:tcPr>
            <w:tcW w:type="dxa" w:w="1080"/>
          </w:tcPr>
          <w:p>
            <w:r>
              <w:rPr>
                <w:rFonts w:ascii="Calibri" w:hAnsi="Calibri"/>
                <w:sz w:val="22"/>
              </w:rPr>
              <w:t>1–3% (unchanged)</w:t>
            </w:r>
          </w:p>
        </w:tc>
        <w:tc>
          <w:tcPr>
            <w:tcW w:type="dxa" w:w="1080"/>
          </w:tcPr>
          <w:p>
            <w:r>
              <w:rPr>
                <w:rFonts w:ascii="Calibri" w:hAnsi="Calibri"/>
                <w:sz w:val="22"/>
              </w:rPr>
              <w:t>Unchanged</w:t>
            </w:r>
          </w:p>
        </w:tc>
        <w:tc>
          <w:tcPr>
            <w:tcW w:type="dxa" w:w="1080"/>
          </w:tcPr>
          <w:p>
            <w:r>
              <w:rPr>
                <w:rFonts w:ascii="Calibri" w:hAnsi="Calibri"/>
                <w:sz w:val="22"/>
              </w:rPr>
              <w:t>-197 bps below midpoint</w:t>
            </w:r>
          </w:p>
        </w:tc>
      </w:tr>
      <w:tr>
        <w:tc>
          <w:tcPr>
            <w:tcW w:type="dxa" w:w="1080"/>
          </w:tcPr>
          <w:p>
            <w:r>
              <w:rPr>
                <w:rFonts w:ascii="Calibri" w:hAnsi="Calibri"/>
                <w:sz w:val="22"/>
              </w:rPr>
              <w:t>Comp Sales Growth — FY 2026</w:t>
            </w:r>
          </w:p>
        </w:tc>
        <w:tc>
          <w:tcPr>
            <w:tcW w:type="dxa" w:w="1080"/>
          </w:tcPr>
          <w:p>
            <w:r>
              <w:rPr>
                <w:rFonts w:ascii="Calibri" w:hAnsi="Calibri"/>
                <w:sz w:val="22"/>
              </w:rPr>
              <w:t>+1.44%</w:t>
            </w:r>
          </w:p>
        </w:tc>
        <w:tc>
          <w:tcPr>
            <w:tcW w:type="dxa" w:w="1080"/>
          </w:tcPr>
          <w:p>
            <w:r>
              <w:rPr>
                <w:rFonts w:ascii="Calibri" w:hAnsi="Calibri"/>
                <w:sz w:val="22"/>
              </w:rPr>
              <w:t>+0.45%</w:t>
            </w:r>
          </w:p>
        </w:tc>
        <w:tc>
          <w:tcPr>
            <w:tcW w:type="dxa" w:w="1080"/>
          </w:tcPr>
          <w:p>
            <w:r>
              <w:rPr>
                <w:rFonts w:ascii="Calibri" w:hAnsi="Calibri"/>
                <w:b/>
                <w:color w:val="E5484D"/>
                <w:sz w:val="22"/>
              </w:rPr>
              <w:t>-68.5%</w:t>
            </w:r>
          </w:p>
        </w:tc>
        <w:tc>
          <w:tcPr>
            <w:tcW w:type="dxa" w:w="1080"/>
          </w:tcPr>
          <w:p>
            <w:r>
              <w:rPr>
                <w:rFonts w:ascii="Calibri" w:hAnsi="Calibri"/>
                <w:sz w:val="22"/>
              </w:rPr>
              <w:t>1–3% per quarter</w:t>
            </w:r>
          </w:p>
        </w:tc>
        <w:tc>
          <w:tcPr>
            <w:tcW w:type="dxa" w:w="1080"/>
          </w:tcPr>
          <w:p>
            <w:r>
              <w:rPr>
                <w:rFonts w:ascii="Calibri" w:hAnsi="Calibri"/>
                <w:sz w:val="22"/>
              </w:rPr>
              <w:t>1–3% per quarter (unchanged)</w:t>
            </w:r>
          </w:p>
        </w:tc>
        <w:tc>
          <w:tcPr>
            <w:tcW w:type="dxa" w:w="1080"/>
          </w:tcPr>
          <w:p>
            <w:r>
              <w:rPr>
                <w:rFonts w:ascii="Calibri" w:hAnsi="Calibri"/>
                <w:sz w:val="22"/>
              </w:rPr>
              <w:t>Unchanged</w:t>
            </w:r>
          </w:p>
        </w:tc>
        <w:tc>
          <w:tcPr>
            <w:tcW w:type="dxa" w:w="1080"/>
          </w:tcPr>
          <w:p>
            <w:r>
              <w:rPr>
                <w:rFonts w:ascii="Calibri" w:hAnsi="Calibri"/>
                <w:sz w:val="22"/>
              </w:rPr>
              <w:t>~155 bps below midpoint</w:t>
            </w:r>
          </w:p>
        </w:tc>
      </w:tr>
      <w:tr>
        <w:tc>
          <w:tcPr>
            <w:tcW w:type="dxa" w:w="1080"/>
          </w:tcPr>
          <w:p>
            <w:r>
              <w:rPr>
                <w:rFonts w:ascii="Calibri" w:hAnsi="Calibri"/>
                <w:sz w:val="22"/>
              </w:rPr>
              <w:t>Net Sales — Q2 2026 ($B)</w:t>
            </w:r>
          </w:p>
        </w:tc>
        <w:tc>
          <w:tcPr>
            <w:tcW w:type="dxa" w:w="1080"/>
          </w:tcPr>
          <w:p>
            <w:r>
              <w:rPr>
                <w:rFonts w:ascii="Calibri" w:hAnsi="Calibri"/>
                <w:sz w:val="22"/>
              </w:rPr>
              <w:t>$4.661B</w:t>
            </w:r>
          </w:p>
        </w:tc>
        <w:tc>
          <w:tcPr>
            <w:tcW w:type="dxa" w:w="1080"/>
          </w:tcPr>
          <w:p>
            <w:r>
              <w:rPr>
                <w:rFonts w:ascii="Calibri" w:hAnsi="Calibri"/>
                <w:sz w:val="22"/>
              </w:rPr>
              <w:t>$4.592B</w:t>
            </w:r>
          </w:p>
        </w:tc>
        <w:tc>
          <w:tcPr>
            <w:tcW w:type="dxa" w:w="1080"/>
          </w:tcPr>
          <w:p>
            <w:r>
              <w:rPr>
                <w:rFonts w:ascii="Calibri" w:hAnsi="Calibri"/>
                <w:b/>
                <w:color w:val="E5484D"/>
                <w:sz w:val="22"/>
              </w:rPr>
              <w:t>-1.5%</w:t>
            </w:r>
          </w:p>
        </w:tc>
        <w:tc>
          <w:tcPr>
            <w:tcW w:type="dxa" w:w="1080"/>
          </w:tcPr>
          <w:p>
            <w:r>
              <w:rPr>
                <w:rFonts w:ascii="Calibri" w:hAnsi="Calibri"/>
                <w:sz w:val="22"/>
              </w:rPr>
              <w:t>~4–6% total sales growth (FY)</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Broadly in line</w:t>
            </w:r>
          </w:p>
        </w:tc>
      </w:tr>
      <w:tr>
        <w:tc>
          <w:tcPr>
            <w:tcW w:type="dxa" w:w="1080"/>
          </w:tcPr>
          <w:p>
            <w:r>
              <w:rPr>
                <w:rFonts w:ascii="Calibri" w:hAnsi="Calibri"/>
                <w:sz w:val="22"/>
              </w:rPr>
              <w:t>Net Sales — FY 2026 ($B)</w:t>
            </w:r>
          </w:p>
        </w:tc>
        <w:tc>
          <w:tcPr>
            <w:tcW w:type="dxa" w:w="1080"/>
          </w:tcPr>
          <w:p>
            <w:r>
              <w:rPr>
                <w:rFonts w:ascii="Calibri" w:hAnsi="Calibri"/>
                <w:sz w:val="22"/>
              </w:rPr>
              <w:t>$16.23B</w:t>
            </w:r>
          </w:p>
        </w:tc>
        <w:tc>
          <w:tcPr>
            <w:tcW w:type="dxa" w:w="1080"/>
          </w:tcPr>
          <w:p>
            <w:r>
              <w:rPr>
                <w:rFonts w:ascii="Calibri" w:hAnsi="Calibri"/>
                <w:sz w:val="22"/>
              </w:rPr>
              <w:t>$16.07B</w:t>
            </w:r>
          </w:p>
        </w:tc>
        <w:tc>
          <w:tcPr>
            <w:tcW w:type="dxa" w:w="1080"/>
          </w:tcPr>
          <w:p>
            <w:r>
              <w:rPr>
                <w:rFonts w:ascii="Calibri" w:hAnsi="Calibri"/>
                <w:b/>
                <w:color w:val="E5484D"/>
                <w:sz w:val="22"/>
              </w:rPr>
              <w:t>-1.0%</w:t>
            </w:r>
          </w:p>
        </w:tc>
        <w:tc>
          <w:tcPr>
            <w:tcW w:type="dxa" w:w="1080"/>
          </w:tcPr>
          <w:p>
            <w:r>
              <w:rPr>
                <w:rFonts w:ascii="Calibri" w:hAnsi="Calibri"/>
                <w:sz w:val="22"/>
              </w:rPr>
              <w:t>4–6% total sales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Slightly below guidance midpoint</w:t>
            </w:r>
          </w:p>
        </w:tc>
      </w:tr>
      <w:tr>
        <w:tc>
          <w:tcPr>
            <w:tcW w:type="dxa" w:w="1080"/>
          </w:tcPr>
          <w:p>
            <w:r>
              <w:rPr>
                <w:rFonts w:ascii="Calibri" w:hAnsi="Calibri"/>
                <w:sz w:val="22"/>
              </w:rPr>
              <w:t>EPS — Diluted, Q2 2026</w:t>
            </w:r>
          </w:p>
        </w:tc>
        <w:tc>
          <w:tcPr>
            <w:tcW w:type="dxa" w:w="1080"/>
          </w:tcPr>
          <w:p>
            <w:r>
              <w:rPr>
                <w:rFonts w:ascii="Calibri" w:hAnsi="Calibri"/>
                <w:sz w:val="22"/>
              </w:rPr>
              <w:t>$0.86</w:t>
            </w:r>
          </w:p>
        </w:tc>
        <w:tc>
          <w:tcPr>
            <w:tcW w:type="dxa" w:w="1080"/>
          </w:tcPr>
          <w:p>
            <w:r>
              <w:rPr>
                <w:rFonts w:ascii="Calibri" w:hAnsi="Calibri"/>
                <w:sz w:val="22"/>
              </w:rPr>
              <w:t>$0.82</w:t>
            </w:r>
          </w:p>
        </w:tc>
        <w:tc>
          <w:tcPr>
            <w:tcW w:type="dxa" w:w="1080"/>
          </w:tcPr>
          <w:p>
            <w:r>
              <w:rPr>
                <w:rFonts w:ascii="Calibri" w:hAnsi="Calibri"/>
                <w:b/>
                <w:color w:val="E5484D"/>
                <w:sz w:val="22"/>
              </w:rPr>
              <w:t>-4.7%</w:t>
            </w:r>
          </w:p>
        </w:tc>
        <w:tc>
          <w:tcPr>
            <w:tcW w:type="dxa" w:w="1080"/>
          </w:tcPr>
          <w:p>
            <w:r>
              <w:rPr>
                <w:rFonts w:ascii="Calibri" w:hAnsi="Calibri"/>
                <w:sz w:val="22"/>
              </w:rPr>
              <w:t>Not separately guided (FY: $2.13–$2.23)</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 (no Q2 EPS guidance)</w:t>
            </w:r>
          </w:p>
        </w:tc>
      </w:tr>
      <w:tr>
        <w:tc>
          <w:tcPr>
            <w:tcW w:type="dxa" w:w="1080"/>
          </w:tcPr>
          <w:p>
            <w:r>
              <w:rPr>
                <w:rFonts w:ascii="Calibri" w:hAnsi="Calibri"/>
                <w:sz w:val="22"/>
              </w:rPr>
              <w:t>EPS — Diluted, FY 2026</w:t>
            </w:r>
          </w:p>
        </w:tc>
        <w:tc>
          <w:tcPr>
            <w:tcW w:type="dxa" w:w="1080"/>
          </w:tcPr>
          <w:p>
            <w:r>
              <w:rPr>
                <w:rFonts w:ascii="Calibri" w:hAnsi="Calibri"/>
                <w:sz w:val="22"/>
              </w:rPr>
              <w:t>$2.13</w:t>
            </w:r>
          </w:p>
        </w:tc>
        <w:tc>
          <w:tcPr>
            <w:tcW w:type="dxa" w:w="1080"/>
          </w:tcPr>
          <w:p>
            <w:r>
              <w:rPr>
                <w:rFonts w:ascii="Calibri" w:hAnsi="Calibri"/>
                <w:sz w:val="22"/>
              </w:rPr>
              <w:t>$2.05</w:t>
            </w:r>
          </w:p>
        </w:tc>
        <w:tc>
          <w:tcPr>
            <w:tcW w:type="dxa" w:w="1080"/>
          </w:tcPr>
          <w:p>
            <w:r>
              <w:rPr>
                <w:rFonts w:ascii="Calibri" w:hAnsi="Calibri"/>
                <w:b/>
                <w:color w:val="E5484D"/>
                <w:sz w:val="22"/>
              </w:rPr>
              <w:t>-3.8%</w:t>
            </w:r>
          </w:p>
        </w:tc>
        <w:tc>
          <w:tcPr>
            <w:tcW w:type="dxa" w:w="1080"/>
          </w:tcPr>
          <w:p>
            <w:r>
              <w:rPr>
                <w:rFonts w:ascii="Calibri" w:hAnsi="Calibri"/>
                <w:sz w:val="22"/>
              </w:rPr>
              <w:t>$2.13–$2.23 (midpoint $2.18)</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-6.0% below guidance midpoint</w:t>
            </w:r>
          </w:p>
        </w:tc>
      </w:tr>
    </w:tbl>
    <w:p>
      <w:r>
        <w:rPr>
          <w:rFonts w:ascii="Calibri" w:hAnsi="Calibri"/>
          <w:i/>
          <w:color w:val="525866"/>
          <w:sz w:val="22"/>
        </w:rPr>
        <w:t>Source: Visible Alpha Consensus and Actuals Data. Post-Q1 baseline = consensus as of April 26, 2026 (5 trading days after April 21 earnings).</w:t>
      </w:r>
    </w:p>
    <w:p>
      <w:r>
        <w:rPr>
          <w:rFonts w:ascii="Calibri" w:hAnsi="Calibri"/>
          <w:color w:val="525866"/>
          <w:sz w:val="22"/>
        </w:rPr>
        <w:t>Estimates have moved consistently lower across all KPIs since the Q1 print, with the comp sales revision being the most dramatic (Q2 consensus fell from 1.62% to 0.03%). The widening gap between Street estimates and management guidance midpoints suggests the market has lost confidence in the 1–3% comp framework — if management delivers even at the low end of guidance (1% comp), it would represent a meaningful beat vs. current consensus.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TSCO’s 25.8% decline since Q1 earnings is driven almost entirely by </w:t>
      </w:r>
      <w:r>
        <w:rPr>
          <w:rFonts w:ascii="Calibri" w:hAnsi="Calibri"/>
          <w:b/>
          <w:color w:val="525866"/>
          <w:sz w:val="22"/>
        </w:rPr>
        <w:t>multiple compression and loss of confidence in the comp algorithm</w:t>
      </w:r>
      <w:r>
        <w:rPr>
          <w:rFonts w:ascii="Calibri" w:hAnsi="Calibri"/>
          <w:color w:val="525866"/>
          <w:sz w:val="22"/>
        </w:rPr>
        <w:t xml:space="preserve"> — not macro or sector headwinds (XRT +1.8%, SPY +6.2% over the same period). The stock is pricing in a structurally impaired business, which sets a low bar for a relief rally on any positive comp surprise.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TSCO vs. XRT (Retail ETF) vs. S&amp;P 500 (SPY) — Indexed to 100 at Q1 2026 Earnings (April 21, 2026). TSCO: -25.8% | XRT: +1.8% | SPY: +6.2%.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TSCO</w:t>
            </w:r>
          </w:p>
        </w:tc>
        <w:tc>
          <w:tcPr>
            <w:tcW w:type="dxa" w:w="2160"/>
            <w:shd w:val="clear" w:color="auto" w:fill="3B4259"/>
          </w:tcPr>
          <w:p>
            <w:r>
              <w:rPr>
                <w:rFonts w:ascii="Calibri" w:hAnsi="Calibri"/>
                <w:b/>
                <w:color w:val="FFFFFF"/>
                <w:sz w:val="22"/>
              </w:rPr>
              <w:t>XRT (Retail ETF)</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Q1 Earnings (Apr 21, 2026)</w:t>
            </w:r>
          </w:p>
        </w:tc>
        <w:tc>
          <w:tcPr>
            <w:tcW w:type="dxa" w:w="2160"/>
          </w:tcPr>
          <w:p>
            <w:r>
              <w:rPr>
                <w:rFonts w:ascii="Calibri" w:hAnsi="Calibri"/>
                <w:sz w:val="22"/>
              </w:rPr>
              <w:t>$39.57</w:t>
            </w:r>
          </w:p>
        </w:tc>
        <w:tc>
          <w:tcPr>
            <w:tcW w:type="dxa" w:w="2160"/>
          </w:tcPr>
          <w:p>
            <w:r>
              <w:rPr>
                <w:rFonts w:ascii="Calibri" w:hAnsi="Calibri"/>
                <w:sz w:val="22"/>
              </w:rPr>
              <w:t>$87.20</w:t>
            </w:r>
          </w:p>
        </w:tc>
        <w:tc>
          <w:tcPr>
            <w:tcW w:type="dxa" w:w="2160"/>
          </w:tcPr>
          <w:p>
            <w:r>
              <w:rPr>
                <w:rFonts w:ascii="Calibri" w:hAnsi="Calibri"/>
                <w:sz w:val="22"/>
              </w:rPr>
              <w:t>$704.08</w:t>
            </w:r>
          </w:p>
        </w:tc>
      </w:tr>
      <w:tr>
        <w:tc>
          <w:tcPr>
            <w:tcW w:type="dxa" w:w="2160"/>
          </w:tcPr>
          <w:p>
            <w:r>
              <w:rPr>
                <w:rFonts w:ascii="Calibri" w:hAnsi="Calibri"/>
                <w:sz w:val="22"/>
              </w:rPr>
              <w:t>Price as of Jul 22, 2026</w:t>
            </w:r>
          </w:p>
        </w:tc>
        <w:tc>
          <w:tcPr>
            <w:tcW w:type="dxa" w:w="2160"/>
          </w:tcPr>
          <w:p>
            <w:r>
              <w:rPr>
                <w:rFonts w:ascii="Calibri" w:hAnsi="Calibri"/>
                <w:sz w:val="22"/>
              </w:rPr>
              <w:t>$29.36</w:t>
            </w:r>
          </w:p>
        </w:tc>
        <w:tc>
          <w:tcPr>
            <w:tcW w:type="dxa" w:w="2160"/>
          </w:tcPr>
          <w:p>
            <w:r>
              <w:rPr>
                <w:rFonts w:ascii="Calibri" w:hAnsi="Calibri"/>
                <w:sz w:val="22"/>
              </w:rPr>
              <w:t>$88.74</w:t>
            </w:r>
          </w:p>
        </w:tc>
        <w:tc>
          <w:tcPr>
            <w:tcW w:type="dxa" w:w="2160"/>
          </w:tcPr>
          <w:p>
            <w:r>
              <w:rPr>
                <w:rFonts w:ascii="Calibri" w:hAnsi="Calibri"/>
                <w:sz w:val="22"/>
              </w:rPr>
              <w:t>$747.41</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-25.8%</w:t>
            </w:r>
          </w:p>
        </w:tc>
        <w:tc>
          <w:tcPr>
            <w:tcW w:type="dxa" w:w="2160"/>
          </w:tcPr>
          <w:p>
            <w:r>
              <w:rPr>
                <w:rFonts w:ascii="Calibri" w:hAnsi="Calibri"/>
                <w:b/>
                <w:color w:val="30A46C"/>
                <w:sz w:val="22"/>
              </w:rPr>
              <w:t>+1.8%</w:t>
            </w:r>
          </w:p>
        </w:tc>
        <w:tc>
          <w:tcPr>
            <w:tcW w:type="dxa" w:w="2160"/>
          </w:tcPr>
          <w:p>
            <w:r>
              <w:rPr>
                <w:rFonts w:ascii="Calibri" w:hAnsi="Calibri"/>
                <w:b/>
                <w:color w:val="30A46C"/>
                <w:sz w:val="22"/>
              </w:rPr>
              <w:t>+6.2%</w:t>
            </w:r>
          </w:p>
        </w:tc>
      </w:tr>
      <w:tr>
        <w:tc>
          <w:tcPr>
            <w:tcW w:type="dxa" w:w="2160"/>
          </w:tcPr>
          <w:p>
            <w:r>
              <w:rPr>
                <w:rFonts w:ascii="Calibri" w:hAnsi="Calibri"/>
                <w:sz w:val="22"/>
              </w:rPr>
              <w:t>Relative to XRT</w:t>
            </w:r>
          </w:p>
        </w:tc>
        <w:tc>
          <w:tcPr>
            <w:tcW w:type="dxa" w:w="2160"/>
          </w:tcPr>
          <w:p>
            <w:r>
              <w:rPr>
                <w:rFonts w:ascii="Calibri" w:hAnsi="Calibri"/>
                <w:sz w:val="22"/>
              </w:rPr>
              <w:t>-27.6 ppts</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Relative to SPY</w:t>
            </w:r>
          </w:p>
        </w:tc>
        <w:tc>
          <w:tcPr>
            <w:tcW w:type="dxa" w:w="2160"/>
          </w:tcPr>
          <w:p>
            <w:r>
              <w:rPr>
                <w:rFonts w:ascii="Calibri" w:hAnsi="Calibri"/>
                <w:sz w:val="22"/>
              </w:rPr>
              <w:t>-32.0 ppts</w:t>
            </w:r>
          </w:p>
        </w:tc>
        <w:tc>
          <w:tcPr>
            <w:tcW w:type="dxa" w:w="2160"/>
          </w:tcPr>
          <w:p>
            <w:r>
              <w:rPr>
                <w:rFonts w:ascii="Calibri" w:hAnsi="Calibri"/>
                <w:sz w:val="22"/>
              </w:rPr>
              <w:t>—</w:t>
            </w:r>
          </w:p>
        </w:tc>
        <w:tc>
          <w:tcPr>
            <w:tcW w:type="dxa" w:w="2160"/>
          </w:tcPr>
          <w:p>
            <w:r>
              <w:rPr>
                <w:rFonts w:ascii="Calibri" w:hAnsi="Calibri"/>
                <w:sz w:val="22"/>
              </w:rPr>
              <w:t>—</w:t>
            </w:r>
          </w:p>
        </w:tc>
      </w:tr>
    </w:tbl>
    <w:p>
      <w:r>
        <w:rPr>
          <w:rFonts w:ascii="Calibri" w:hAnsi="Calibri"/>
          <w:i/>
          <w:color w:val="525866"/>
          <w:sz w:val="22"/>
        </w:rPr>
        <w:t>Source: Stock Price Data (Yahoo Finance). Sector ETF used: XRT (SPDR S&amp;P Retail ETF) — appropriate for TSCO’s specialty retail sub-sector.</w:t>
      </w:r>
    </w:p>
    <w:p>
      <w:r>
        <w:rPr>
          <w:rFonts w:ascii="Calibri" w:hAnsi="Calibri"/>
          <w:b/>
          <w:color w:val="525866"/>
          <w:sz w:val="22"/>
        </w:rPr>
        <w:t xml:space="preserve">Key events since Q1 earnings: </w:t>
      </w:r>
      <w:r>
        <w:rPr>
          <w:rFonts w:ascii="Calibri" w:hAnsi="Calibri"/>
          <w:color w:val="525866"/>
          <w:sz w:val="22"/>
        </w:rPr>
        <w:t>The stock declined sharply in the days immediately following the Q1 miss (April 21–22), then continued to drift lower through May as the Street digested the structural companion animal narrative. A brief stabilization in late May/early June was followed by renewed weakness in June–July as broader consumer sentiment remained cautious. The underperformance is idiosyncratic — XRT and SPY both recovered and made new highs while TSCO continued to slide, confirming the de-rating is company-specific (structural pet headwind + below-algorithm comp trajectory) rather than macro-driven.</w:t>
      </w:r>
    </w:p>
    <w:p>
      <w:r>
        <w:br w:type="page"/>
      </w:r>
    </w:p>
    <w:p>
      <w:pPr>
        <w:pStyle w:val="Heading2"/>
      </w:pPr>
      <w:r>
        <w:rPr>
          <w:rFonts w:ascii="Calibri" w:hAnsi="Calibri"/>
          <w:b/>
          <w:color w:val="3B4259"/>
          <w:sz w:val="28"/>
        </w:rPr>
        <w:t>6. Peer Commentaries — Read-Through Analysis</w:t>
      </w:r>
    </w:p>
    <w:p>
      <w:r>
        <w:rPr>
          <w:rFonts w:ascii="Calibri" w:hAnsi="Calibri"/>
          <w:b/>
          <w:color w:val="525866"/>
          <w:sz w:val="22"/>
        </w:rPr>
        <w:t xml:space="preserve">Key Takeaway: </w:t>
      </w:r>
      <w:r>
        <w:rPr>
          <w:rFonts w:ascii="Calibri" w:hAnsi="Calibri"/>
          <w:color w:val="525866"/>
          <w:sz w:val="22"/>
        </w:rPr>
        <w:t xml:space="preserve">Peer commentary from Q1 2026 earnings calls (reported April–June 2026) paints a </w:t>
      </w:r>
      <w:r>
        <w:rPr>
          <w:rFonts w:ascii="Calibri" w:hAnsi="Calibri"/>
          <w:b/>
          <w:color w:val="525866"/>
          <w:sz w:val="22"/>
        </w:rPr>
        <w:t>cautious but stable consumer backdrop</w:t>
      </w:r>
      <w:r>
        <w:rPr>
          <w:rFonts w:ascii="Calibri" w:hAnsi="Calibri"/>
          <w:color w:val="525866"/>
          <w:sz w:val="22"/>
        </w:rPr>
        <w:t xml:space="preserve"> — value-focused spending, gas price sensitivity, and trip consolidation are consistent themes. Importantly, peers with exposure to outdoor/sporting goods and seasonal categories (ASO, DKS) saw solid Q2 trends, which is a mild positive read-through for TSCO’s big-ticket and seasonal categories. The pet category read-through is limited (no direct pet specialty peers reported), but the broader consumer caution theme is consistent with TSCO’s own Q1 narrative.</w:t>
      </w:r>
    </w:p>
    <w:p>
      <w:r>
        <w:rPr>
          <w:rFonts w:ascii="Calibri" w:hAnsi="Calibri"/>
          <w:b/>
          <w:color w:val="525866"/>
          <w:sz w:val="22"/>
        </w:rPr>
        <w:t xml:space="preserve">Note: </w:t>
      </w:r>
      <w:r>
        <w:rPr>
          <w:rFonts w:ascii="Calibri" w:hAnsi="Calibri"/>
          <w:i/>
          <w:color w:val="525866"/>
          <w:sz w:val="22"/>
        </w:rPr>
        <w:t>All peer commentary below is from Q1 2026 earnings calls (reported after TSCO’s Q1 print on April 21, 2026) and reflects forward-looking commentary about Q2 2026 and the current operating environment. Prior-quarter results commentary has been excluded.</w:t>
      </w:r>
    </w:p>
    <w:p>
      <w:pPr>
        <w:pStyle w:val="Heading3"/>
      </w:pPr>
      <w:r>
        <w:rPr>
          <w:rFonts w:ascii="Calibri" w:hAnsi="Calibri"/>
          <w:b/>
          <w:color w:val="3B4259"/>
          <w:sz w:val="24"/>
        </w:rPr>
        <w:t>Academy Sports &amp; Outdoors (ASO) — Q1 2026 Earnings Call (June 9, 2026)</w:t>
      </w:r>
    </w:p>
    <w:p>
      <w:r>
        <w:rPr>
          <w:rFonts w:ascii="Calibri" w:hAnsi="Calibri"/>
          <w:b/>
          <w:color w:val="525866"/>
          <w:sz w:val="22"/>
        </w:rPr>
        <w:t xml:space="preserve">Relevance to TSCO: </w:t>
      </w:r>
      <w:r>
        <w:rPr>
          <w:rFonts w:ascii="Calibri" w:hAnsi="Calibri"/>
          <w:color w:val="525866"/>
          <w:sz w:val="22"/>
        </w:rPr>
        <w:t>ASO serves a similar rural/outdoor customer base and has meaningful overlap in sporting goods, apparel, and outdoor lifestyle categories. ASO’s Q2 consumer commentary is the most direct read-through for TSCO’s big-ticket and seasonal categories.</w:t>
      </w:r>
    </w:p>
    <w:p>
      <w:pPr>
        <w:pStyle w:val="ListBullet"/>
        <w:ind w:left="360" w:hanging="360"/>
      </w:pPr>
      <w:r>
        <w:rPr>
          <w:rFonts w:ascii="Calibri" w:hAnsi="Calibri"/>
          <w:b/>
          <w:color w:val="525866"/>
          <w:sz w:val="22"/>
        </w:rPr>
        <w:t xml:space="preserve">Consumer slowdown entering Q2: </w:t>
      </w:r>
      <w:r>
        <w:rPr>
          <w:rFonts w:ascii="Calibri" w:hAnsi="Calibri"/>
          <w:color w:val="525866"/>
          <w:sz w:val="22"/>
        </w:rPr>
        <w:t>CEO Steven Lawrence noted “a little bit of a slowdown from the consumer” in Q2, attributed to gas prices. Total sales through Memorial Day were “tracking up low single digits, roughly flat comp.” This is a mild negative read-through for TSCO’s Q2 comp, suggesting the consumer environment softened further into the quarter.</w:t>
      </w:r>
    </w:p>
    <w:p>
      <w:pPr>
        <w:pStyle w:val="ListBullet"/>
        <w:ind w:left="360" w:hanging="360"/>
      </w:pPr>
      <w:r>
        <w:rPr>
          <w:rFonts w:ascii="Calibri" w:hAnsi="Calibri"/>
          <w:b/>
          <w:color w:val="525866"/>
          <w:sz w:val="22"/>
        </w:rPr>
        <w:t xml:space="preserve">Higher-income customer resilience: </w:t>
      </w:r>
      <w:r>
        <w:rPr>
          <w:rFonts w:ascii="Calibri" w:hAnsi="Calibri"/>
          <w:color w:val="525866"/>
          <w:sz w:val="22"/>
        </w:rPr>
        <w:t>ASO’s above-$100K customer cohort grew mid-single digits in Q1 and is expected to continue as the fastest-growing segment. TSCO’s high-value Neighbor’s Club customers showed similar resilience in Q1 — consistent read-through.</w:t>
      </w:r>
    </w:p>
    <w:p>
      <w:pPr>
        <w:pStyle w:val="ListBullet"/>
        <w:ind w:left="360" w:hanging="360"/>
      </w:pPr>
      <w:r>
        <w:rPr>
          <w:rFonts w:ascii="Calibri" w:hAnsi="Calibri"/>
          <w:b/>
          <w:color w:val="525866"/>
          <w:sz w:val="22"/>
        </w:rPr>
        <w:t xml:space="preserve">Fuel prices as a persistent headwind: </w:t>
      </w:r>
      <w:r>
        <w:rPr>
          <w:rFonts w:ascii="Calibri" w:hAnsi="Calibri"/>
          <w:color w:val="525866"/>
          <w:sz w:val="22"/>
        </w:rPr>
        <w:t>CFO Earl Ford expects “fuel prices at an elevated level are going to be persistent throughout the majority of this year.” This is directly relevant to TSCO’s rural customer base, which is more fuel-dependent than urban consumers, and consistent with TSCO management’s own updated fuel cost assumptions for Q2–Q3.</w:t>
      </w:r>
    </w:p>
    <w:p>
      <w:pPr>
        <w:pStyle w:val="ListBullet"/>
        <w:ind w:left="360" w:hanging="360"/>
      </w:pPr>
      <w:r>
        <w:rPr>
          <w:rFonts w:ascii="Calibri" w:hAnsi="Calibri"/>
          <w:b/>
          <w:color w:val="525866"/>
          <w:sz w:val="22"/>
        </w:rPr>
        <w:t xml:space="preserve">Outdoor/sporting goods demand solid: </w:t>
      </w:r>
      <w:r>
        <w:rPr>
          <w:rFonts w:ascii="Calibri" w:hAnsi="Calibri"/>
          <w:color w:val="525866"/>
          <w:sz w:val="22"/>
        </w:rPr>
        <w:t>ASO launched suppressors in limited stores and plans to roll out to 100+ stores by year-end; ammo remains a tailwind; Ariat western lifestyle shops expanding. The work western lifestyle trend is a positive read-through for TSCO’s apparel and footwear categories.</w:t>
      </w:r>
    </w:p>
    <w:p>
      <w:pPr>
        <w:pStyle w:val="ListBullet"/>
        <w:ind w:left="360" w:hanging="360"/>
      </w:pPr>
      <w:r>
        <w:rPr>
          <w:rFonts w:ascii="Calibri" w:hAnsi="Calibri"/>
          <w:b/>
          <w:color w:val="525866"/>
          <w:sz w:val="22"/>
        </w:rPr>
        <w:t xml:space="preserve">Cautious consumer, promotional environment: </w:t>
      </w:r>
      <w:r>
        <w:rPr>
          <w:rFonts w:ascii="Calibri" w:hAnsi="Calibri"/>
          <w:color w:val="525866"/>
          <w:sz w:val="22"/>
        </w:rPr>
        <w:t>ASO described customers as “very cautious about when they shop and choiceful about buying more on promotion or in clearance.” This is consistent with TSCO’s Q1 observation of trip consolidation and value-focused spending, and suggests the promotional environment may remain elevated in Q2.</w:t>
      </w:r>
    </w:p>
    <w:p>
      <w:pPr>
        <w:pStyle w:val="ListBullet"/>
        <w:ind w:left="360" w:hanging="360"/>
      </w:pPr>
      <w:r>
        <w:rPr>
          <w:rFonts w:ascii="Calibri" w:hAnsi="Calibri"/>
          <w:b/>
          <w:color w:val="525866"/>
          <w:sz w:val="22"/>
        </w:rPr>
        <w:t xml:space="preserve">Full-year comp guidance raised to flat to +2%: </w:t>
      </w:r>
      <w:r>
        <w:rPr>
          <w:rFonts w:ascii="Calibri" w:hAnsi="Calibri"/>
          <w:color w:val="525866"/>
          <w:sz w:val="22"/>
        </w:rPr>
        <w:t>ASO raised its annual sales guidance to +3–5% total / flat to +2% comp for FY 2026. The fact that ASO raised guidance despite a cautious consumer is a mild positive signal for the broader outdoor/rural retail environment.</w:t>
      </w:r>
    </w:p>
    <w:p>
      <w:pPr>
        <w:pStyle w:val="Heading3"/>
      </w:pPr>
      <w:r>
        <w:rPr>
          <w:rFonts w:ascii="Calibri" w:hAnsi="Calibri"/>
          <w:b/>
          <w:color w:val="3B4259"/>
          <w:sz w:val="24"/>
        </w:rPr>
        <w:t>Dick’s Sporting Goods (DKS) — Q1 2026 Earnings Call (May 27, 2026)</w:t>
      </w:r>
    </w:p>
    <w:p>
      <w:r>
        <w:rPr>
          <w:rFonts w:ascii="Calibri" w:hAnsi="Calibri"/>
          <w:b/>
          <w:color w:val="525866"/>
          <w:sz w:val="22"/>
        </w:rPr>
        <w:t xml:space="preserve">Relevance to TSCO: </w:t>
      </w:r>
      <w:r>
        <w:rPr>
          <w:rFonts w:ascii="Calibri" w:hAnsi="Calibri"/>
          <w:color w:val="525866"/>
          <w:sz w:val="22"/>
        </w:rPr>
        <w:t>DKS serves the sporting goods and outdoor lifestyle customer with meaningful overlap in big-ticket categories (fitness, outdoor, team sports). DKS’s consumer commentary and category trends are a useful read-through for TSCO’s big-ticket and seasonal performance.</w:t>
      </w:r>
    </w:p>
    <w:p>
      <w:pPr>
        <w:pStyle w:val="ListBullet"/>
        <w:ind w:left="360" w:hanging="360"/>
      </w:pPr>
      <w:r>
        <w:rPr>
          <w:rFonts w:ascii="Calibri" w:hAnsi="Calibri"/>
          <w:b/>
          <w:color w:val="525866"/>
          <w:sz w:val="22"/>
        </w:rPr>
        <w:t xml:space="preserve">Healthy consumer with no signs of trading down: </w:t>
      </w:r>
      <w:r>
        <w:rPr>
          <w:rFonts w:ascii="Calibri" w:hAnsi="Calibri"/>
          <w:color w:val="525866"/>
          <w:sz w:val="22"/>
        </w:rPr>
        <w:t>DKS management observed “a healthy consumer across income demographics with no signs of trading down” and “particularly strong engagement from younger athletes.” This is a more constructive read than ASO’s commentary and suggests the sporting goods consumer may be more resilient than the broader rural consumer.</w:t>
      </w:r>
    </w:p>
    <w:p>
      <w:pPr>
        <w:pStyle w:val="ListBullet"/>
        <w:ind w:left="360" w:hanging="360"/>
      </w:pPr>
      <w:r>
        <w:rPr>
          <w:rFonts w:ascii="Calibri" w:hAnsi="Calibri"/>
          <w:b/>
          <w:color w:val="525866"/>
          <w:sz w:val="22"/>
        </w:rPr>
        <w:t xml:space="preserve">Sport is “one of the hottest categories in the country”: </w:t>
      </w:r>
      <w:r>
        <w:rPr>
          <w:rFonts w:ascii="Calibri" w:hAnsi="Calibri"/>
          <w:color w:val="525866"/>
          <w:sz w:val="22"/>
        </w:rPr>
        <w:t>DKS cited broad-based growth across footwear, apparel, and hardlines, with strength in performance running, women’s basketball, and golf. The World Cup is expected to be a tailwind for licensed team business through summer. This is a positive read-through for TSCO’s seasonal and big-ticket categories (tractors, riders, outdoor equipment).</w:t>
      </w:r>
    </w:p>
    <w:p>
      <w:pPr>
        <w:pStyle w:val="ListBullet"/>
        <w:ind w:left="360" w:hanging="360"/>
      </w:pPr>
      <w:r>
        <w:rPr>
          <w:rFonts w:ascii="Calibri" w:hAnsi="Calibri"/>
          <w:b/>
          <w:color w:val="525866"/>
          <w:sz w:val="22"/>
        </w:rPr>
        <w:t xml:space="preserve">Higher comps expected in H1 driven by World Cup: </w:t>
      </w:r>
      <w:r>
        <w:rPr>
          <w:rFonts w:ascii="Calibri" w:hAnsi="Calibri"/>
          <w:color w:val="525866"/>
          <w:sz w:val="22"/>
        </w:rPr>
        <w:t>DKS expects “higher comps in the first half” driven by World Cup timing. TSCO does not have direct World Cup exposure, but the broader consumer engagement in outdoor/active lifestyle is a positive backdrop for TSCO’s seasonal categories.</w:t>
      </w:r>
    </w:p>
    <w:p>
      <w:pPr>
        <w:pStyle w:val="ListBullet"/>
        <w:ind w:left="360" w:hanging="360"/>
      </w:pPr>
      <w:r>
        <w:rPr>
          <w:rFonts w:ascii="Calibri" w:hAnsi="Calibri"/>
          <w:b/>
          <w:color w:val="525866"/>
          <w:sz w:val="22"/>
        </w:rPr>
        <w:t xml:space="preserve">Full-year comp guidance raised: </w:t>
      </w:r>
      <w:r>
        <w:rPr>
          <w:rFonts w:ascii="Calibri" w:hAnsi="Calibri"/>
          <w:color w:val="525866"/>
          <w:sz w:val="22"/>
        </w:rPr>
        <w:t>DKS raised the low end of its comp guidance for the DICK’S business to 2.5–4% (from 2–4%). Another peer raising guidance is a mild positive signal for the retail environment, though TSCO’s structural issues are more idiosyncratic.</w:t>
      </w:r>
    </w:p>
    <w:p>
      <w:pPr>
        <w:pStyle w:val="Heading3"/>
      </w:pPr>
      <w:r>
        <w:rPr>
          <w:rFonts w:ascii="Calibri" w:hAnsi="Calibri"/>
          <w:b/>
          <w:color w:val="3B4259"/>
          <w:sz w:val="24"/>
        </w:rPr>
        <w:t>O’Reilly Automotive (ORLY) — Q1 2026 Earnings Call (April 30, 2026)</w:t>
      </w:r>
    </w:p>
    <w:p>
      <w:r>
        <w:rPr>
          <w:rFonts w:ascii="Calibri" w:hAnsi="Calibri"/>
          <w:b/>
          <w:color w:val="525866"/>
          <w:sz w:val="22"/>
        </w:rPr>
        <w:t xml:space="preserve">Relevance to TSCO: </w:t>
      </w:r>
      <w:r>
        <w:rPr>
          <w:rFonts w:ascii="Calibri" w:hAnsi="Calibri"/>
          <w:color w:val="525866"/>
          <w:sz w:val="22"/>
        </w:rPr>
        <w:t>ORLY serves a rural and suburban customer base with significant overlap in the DIY/needs-based spending profile. ORLY’s commentary on fuel prices, consumer caution, and the rural consumer is a useful macro read-through for TSCO.</w:t>
      </w:r>
    </w:p>
    <w:p>
      <w:pPr>
        <w:pStyle w:val="ListBullet"/>
        <w:ind w:left="360" w:hanging="360"/>
      </w:pPr>
      <w:r>
        <w:rPr>
          <w:rFonts w:ascii="Calibri" w:hAnsi="Calibri"/>
          <w:b/>
          <w:color w:val="525866"/>
          <w:sz w:val="22"/>
        </w:rPr>
        <w:t xml:space="preserve">Cautious consumer outlook, fuel price sensitivity: </w:t>
      </w:r>
      <w:r>
        <w:rPr>
          <w:rFonts w:ascii="Calibri" w:hAnsi="Calibri"/>
          <w:color w:val="525866"/>
          <w:sz w:val="22"/>
        </w:rPr>
        <w:t>ORLY management stated “we remain cautious in our outlook for the consumer” and flagged that “rapid increases in fuel costs have the potential to impact consumer spending even in predominantly nondiscretionary sectors.” This is directly relevant to TSCO’s rural customer, who is more fuel-dependent. ORLY noted it takes a sustained level above $4/gallon to impact miles driven — current prices are approaching but not yet at that threshold.</w:t>
      </w:r>
    </w:p>
    <w:p>
      <w:pPr>
        <w:pStyle w:val="ListBullet"/>
        <w:ind w:left="360" w:hanging="360"/>
      </w:pPr>
      <w:r>
        <w:rPr>
          <w:rFonts w:ascii="Calibri" w:hAnsi="Calibri"/>
          <w:b/>
          <w:color w:val="525866"/>
          <w:sz w:val="22"/>
        </w:rPr>
        <w:t xml:space="preserve">No pullback in consumer demand as of April: </w:t>
      </w:r>
      <w:r>
        <w:rPr>
          <w:rFonts w:ascii="Calibri" w:hAnsi="Calibri"/>
          <w:color w:val="525866"/>
          <w:sz w:val="22"/>
        </w:rPr>
        <w:t>Despite caution, ORLY noted “first quarter results and trends thus far in April have not indicated a pullback in consumer demand.” This is a mild positive read-through for TSCO’s Q2 start, suggesting the consumer held up into April even as fuel prices rose.</w:t>
      </w:r>
    </w:p>
    <w:p>
      <w:pPr>
        <w:pStyle w:val="ListBullet"/>
        <w:ind w:left="360" w:hanging="360"/>
      </w:pPr>
      <w:r>
        <w:rPr>
          <w:rFonts w:ascii="Calibri" w:hAnsi="Calibri"/>
          <w:b/>
          <w:color w:val="525866"/>
          <w:sz w:val="22"/>
        </w:rPr>
        <w:t xml:space="preserve">Full-year comp guidance maintained at 3–5%: </w:t>
      </w:r>
      <w:r>
        <w:rPr>
          <w:rFonts w:ascii="Calibri" w:hAnsi="Calibri"/>
          <w:color w:val="525866"/>
          <w:sz w:val="22"/>
        </w:rPr>
        <w:t>ORLY maintained its full-year comp guidance range of 3–5% and raised operating profit guidance by 10 bps. The strong Q1 pushed ORLY to the “top half” of its full-year range. ORLY’s needs-based model (auto parts) is more defensive than TSCO’s, but the maintained guidance signals the rural/suburban consumer is not in freefall.</w:t>
      </w:r>
    </w:p>
    <w:p>
      <w:pPr>
        <w:pStyle w:val="ListBullet"/>
        <w:ind w:left="360" w:hanging="360"/>
      </w:pPr>
      <w:r>
        <w:rPr>
          <w:rFonts w:ascii="Calibri" w:hAnsi="Calibri"/>
          <w:b/>
          <w:color w:val="525866"/>
          <w:sz w:val="22"/>
        </w:rPr>
        <w:t xml:space="preserve">Same-SKU inflation of ~6% in H1, moderating to ~3% in H2: </w:t>
      </w:r>
      <w:r>
        <w:rPr>
          <w:rFonts w:ascii="Calibri" w:hAnsi="Calibri"/>
          <w:color w:val="525866"/>
          <w:sz w:val="22"/>
        </w:rPr>
        <w:t>ORLY expects inflation to moderate in the back half as it laps prior-year price increases. This is relevant to TSCO’s own inflation expectation of 1–2% for FY 2026 — both companies are managing through a moderating but still-present inflationary environment.</w:t>
      </w:r>
    </w:p>
    <w:p>
      <w:pPr>
        <w:pStyle w:val="Heading3"/>
      </w:pPr>
      <w:r>
        <w:rPr>
          <w:rFonts w:ascii="Calibri" w:hAnsi="Calibri"/>
          <w:b/>
          <w:color w:val="3B4259"/>
          <w:sz w:val="24"/>
        </w:rPr>
        <w:t>Five Below (FIVE) — Q1 2026 Earnings Call (June 3, 2026)</w:t>
      </w:r>
    </w:p>
    <w:p>
      <w:r>
        <w:rPr>
          <w:rFonts w:ascii="Calibri" w:hAnsi="Calibri"/>
          <w:b/>
          <w:color w:val="525866"/>
          <w:sz w:val="22"/>
        </w:rPr>
        <w:t xml:space="preserve">Relevance to TSCO: </w:t>
      </w:r>
      <w:r>
        <w:rPr>
          <w:rFonts w:ascii="Calibri" w:hAnsi="Calibri"/>
          <w:color w:val="525866"/>
          <w:sz w:val="22"/>
        </w:rPr>
        <w:t>FIVE serves a value-oriented consumer with significant exposure to lower-income households. FIVE’s commentary on consumer sentiment, tax refund dynamics, and the macro environment is a useful read-through for TSCO’s lower-income customer cohort.</w:t>
      </w:r>
    </w:p>
    <w:p>
      <w:pPr>
        <w:pStyle w:val="ListBullet"/>
        <w:ind w:left="360" w:hanging="360"/>
      </w:pPr>
      <w:r>
        <w:rPr>
          <w:rFonts w:ascii="Calibri" w:hAnsi="Calibri"/>
          <w:b/>
          <w:color w:val="525866"/>
          <w:sz w:val="22"/>
        </w:rPr>
        <w:t xml:space="preserve">Cautious macro outlook despite strong Q1: </w:t>
      </w:r>
      <w:r>
        <w:rPr>
          <w:rFonts w:ascii="Calibri" w:hAnsi="Calibri"/>
          <w:color w:val="525866"/>
          <w:sz w:val="22"/>
        </w:rPr>
        <w:t>FIVE management remained “cautious with respect to the macro environment, consumer sentiment and buying behaviors” despite a strong Q1. They noted “rising fuel costs with very sticky inflation with a somewhat soft labor market” as headwinds. This is consistent with TSCO’s own cautious consumer narrative.</w:t>
      </w:r>
    </w:p>
    <w:p>
      <w:pPr>
        <w:pStyle w:val="ListBullet"/>
        <w:ind w:left="360" w:hanging="360"/>
      </w:pPr>
      <w:r>
        <w:rPr>
          <w:rFonts w:ascii="Calibri" w:hAnsi="Calibri"/>
          <w:b/>
          <w:color w:val="525866"/>
          <w:sz w:val="22"/>
        </w:rPr>
        <w:t xml:space="preserve">Tax refund tailwind in Q1 may not repeat: </w:t>
      </w:r>
      <w:r>
        <w:rPr>
          <w:rFonts w:ascii="Calibri" w:hAnsi="Calibri"/>
          <w:color w:val="525866"/>
          <w:sz w:val="22"/>
        </w:rPr>
        <w:t>FIVE management noted that “a piece of that pain that they are feeling wasn’t felt in the first quarter purely because of tax proceeds year-over-year that were significantly up.” This is a mild negative read-through for TSCO’s Q2, suggesting the Q1 tax refund tailwind (which TSCO also referenced) may not repeat in Q2.</w:t>
      </w:r>
    </w:p>
    <w:p>
      <w:pPr>
        <w:pStyle w:val="ListBullet"/>
        <w:ind w:left="360" w:hanging="360"/>
      </w:pPr>
      <w:r>
        <w:rPr>
          <w:rFonts w:ascii="Calibri" w:hAnsi="Calibri"/>
          <w:b/>
          <w:color w:val="525866"/>
          <w:sz w:val="22"/>
        </w:rPr>
        <w:t xml:space="preserve">Q2 comp guidance raised to 7–9%: </w:t>
      </w:r>
      <w:r>
        <w:rPr>
          <w:rFonts w:ascii="Calibri" w:hAnsi="Calibri"/>
          <w:color w:val="525866"/>
          <w:sz w:val="22"/>
        </w:rPr>
        <w:t>FIVE raised its Q2 comp guidance to 7–9% (from implied lower levels), driven by strong early-quarter momentum. However, FIVE’s comp acceleration is driven by its own pricing/assortment transformation and is not directly comparable to TSCO’s situation.</w:t>
      </w:r>
    </w:p>
    <w:p>
      <w:pPr>
        <w:pStyle w:val="ListBullet"/>
        <w:ind w:left="360" w:hanging="360"/>
      </w:pPr>
      <w:r>
        <w:rPr>
          <w:rFonts w:ascii="Calibri" w:hAnsi="Calibri"/>
          <w:b/>
          <w:color w:val="525866"/>
          <w:sz w:val="22"/>
        </w:rPr>
        <w:t xml:space="preserve">No evidence of trade-down: </w:t>
      </w:r>
      <w:r>
        <w:rPr>
          <w:rFonts w:ascii="Calibri" w:hAnsi="Calibri"/>
          <w:color w:val="525866"/>
          <w:sz w:val="22"/>
        </w:rPr>
        <w:t>FIVE noted “we don’t have data that would suggest there’s trade down happening.” This is a mild positive for TSCO — if lower-income consumers are not trading down to cheaper alternatives, TSCO’s needs-based model should hold up.</w:t>
      </w:r>
    </w:p>
    <w:p>
      <w:pPr>
        <w:pStyle w:val="Heading3"/>
      </w:pPr>
      <w:r>
        <w:rPr>
          <w:rFonts w:ascii="Calibri" w:hAnsi="Calibri"/>
          <w:b/>
          <w:color w:val="3B4259"/>
          <w:sz w:val="24"/>
        </w:rPr>
        <w:t>Casey’s General Stores (CASY) — Q4 FY2026 Earnings Call (June 10, 2026) &amp; Investor Day (June 24, 2026)</w:t>
      </w:r>
    </w:p>
    <w:p>
      <w:r>
        <w:rPr>
          <w:rFonts w:ascii="Calibri" w:hAnsi="Calibri"/>
          <w:b/>
          <w:color w:val="525866"/>
          <w:sz w:val="22"/>
        </w:rPr>
        <w:t xml:space="preserve">Relevance to TSCO: </w:t>
      </w:r>
      <w:r>
        <w:rPr>
          <w:rFonts w:ascii="Calibri" w:hAnsi="Calibri"/>
          <w:color w:val="525866"/>
          <w:sz w:val="22"/>
        </w:rPr>
        <w:t>CASY operates convenience stores in rural and small-town markets — the same geographic footprint as TSCO. CASY’s commentary on the rural consumer, fuel price behavior, and spending patterns is the most geographically relevant read-through for TSCO.</w:t>
      </w:r>
    </w:p>
    <w:p>
      <w:pPr>
        <w:pStyle w:val="ListBullet"/>
        <w:ind w:left="360" w:hanging="360"/>
      </w:pPr>
      <w:r>
        <w:rPr>
          <w:rFonts w:ascii="Calibri" w:hAnsi="Calibri"/>
          <w:b/>
          <w:color w:val="525866"/>
          <w:sz w:val="22"/>
        </w:rPr>
        <w:t xml:space="preserve">Rural consumer “hanging in there” but more discerning: </w:t>
      </w:r>
      <w:r>
        <w:rPr>
          <w:rFonts w:ascii="Calibri" w:hAnsi="Calibri"/>
          <w:color w:val="525866"/>
          <w:sz w:val="22"/>
        </w:rPr>
        <w:t>CASY management described consumers as “hanging in there” but “probably being a little more discerning about where they shop and how they spend their money.” Growth is observed across all income cohorts, with slightly less growth in the lower-income segment. This is directly consistent with TSCO’s Q1 description of a “cautious but stable” consumer focused on needs-based spending.</w:t>
      </w:r>
    </w:p>
    <w:p>
      <w:pPr>
        <w:pStyle w:val="ListBullet"/>
        <w:ind w:left="360" w:hanging="360"/>
      </w:pPr>
      <w:r>
        <w:rPr>
          <w:rFonts w:ascii="Calibri" w:hAnsi="Calibri"/>
          <w:b/>
          <w:color w:val="525866"/>
          <w:sz w:val="22"/>
        </w:rPr>
        <w:t xml:space="preserve">Fuel price behavior changes are “very nuanced”: </w:t>
      </w:r>
      <w:r>
        <w:rPr>
          <w:rFonts w:ascii="Calibri" w:hAnsi="Calibri"/>
          <w:color w:val="525866"/>
          <w:sz w:val="22"/>
        </w:rPr>
        <w:t>CASY noted minor changes in fuel purchasing habits (slight dip in premium fuel, increase in ethanol-blended fuel, decrease in gallons per transaction, increase in fuel transactions). These are “low-single-digit percentage” changes — not demand destruction. Current average retail price of ~$4.20/gallon is below the ~$5/gallon threshold where CASY historically sees demand destruction. This is a mild positive for TSCO’s rural customer — fuel costs are elevated but not yet at a level that would cause significant demand destruction.</w:t>
      </w:r>
    </w:p>
    <w:p>
      <w:pPr>
        <w:pStyle w:val="ListBullet"/>
        <w:ind w:left="360" w:hanging="360"/>
      </w:pPr>
      <w:r>
        <w:rPr>
          <w:rFonts w:ascii="Calibri" w:hAnsi="Calibri"/>
          <w:b/>
          <w:color w:val="525866"/>
          <w:sz w:val="22"/>
        </w:rPr>
        <w:t xml:space="preserve">May trends consistent with annual guidance: </w:t>
      </w:r>
      <w:r>
        <w:rPr>
          <w:rFonts w:ascii="Calibri" w:hAnsi="Calibri"/>
          <w:color w:val="525866"/>
          <w:sz w:val="22"/>
        </w:rPr>
        <w:t>CASY noted that May inside same-store sales, same-store gallons sold, and fuel CPG margin were “all consistent with achieving the annual guidance.” This is a positive read-through for TSCO’s Q2 start — the rural consumer held up in May.</w:t>
      </w:r>
    </w:p>
    <w:p>
      <w:pPr>
        <w:pStyle w:val="ListBullet"/>
        <w:ind w:left="360" w:hanging="360"/>
      </w:pPr>
      <w:r>
        <w:rPr>
          <w:rFonts w:ascii="Calibri" w:hAnsi="Calibri"/>
          <w:b/>
          <w:color w:val="525866"/>
          <w:sz w:val="22"/>
        </w:rPr>
        <w:t xml:space="preserve">FY27 EBITDA guidance of +8–10%: </w:t>
      </w:r>
      <w:r>
        <w:rPr>
          <w:rFonts w:ascii="Calibri" w:hAnsi="Calibri"/>
          <w:color w:val="525866"/>
          <w:sz w:val="22"/>
        </w:rPr>
        <w:t>CASY’s strong forward guidance reflects confidence in the rural consumer and the convenience store model. The fact that CASY is guiding to accelerating EBITDA growth in the same rural markets where TSCO operates is a mild positive backdrop for TSCO’s needs-based model.</w:t>
      </w:r>
    </w:p>
    <w:p>
      <w:pPr>
        <w:pStyle w:val="Heading3"/>
      </w:pPr>
      <w:r>
        <w:rPr>
          <w:rFonts w:ascii="Calibri" w:hAnsi="Calibri"/>
          <w:b/>
          <w:color w:val="3B4259"/>
          <w:sz w:val="24"/>
        </w:rPr>
        <w:t>Ulta Beauty (ULTA) — Q1 2026 Earnings Call (June 2, 2026)</w:t>
      </w:r>
    </w:p>
    <w:p>
      <w:r>
        <w:rPr>
          <w:rFonts w:ascii="Calibri" w:hAnsi="Calibri"/>
          <w:b/>
          <w:color w:val="525866"/>
          <w:sz w:val="22"/>
        </w:rPr>
        <w:t xml:space="preserve">Relevance to TSCO: </w:t>
      </w:r>
      <w:r>
        <w:rPr>
          <w:rFonts w:ascii="Calibri" w:hAnsi="Calibri"/>
          <w:color w:val="525866"/>
          <w:sz w:val="22"/>
        </w:rPr>
        <w:t>ULTA’s commentary on the pet/beauty consumer and loyalty program dynamics is a limited but relevant read-through for TSCO’s companion animal and Neighbor’s Club strategy.</w:t>
      </w:r>
    </w:p>
    <w:p>
      <w:pPr>
        <w:pStyle w:val="ListBullet"/>
        <w:ind w:left="360" w:hanging="360"/>
      </w:pPr>
      <w:r>
        <w:rPr>
          <w:rFonts w:ascii="Calibri" w:hAnsi="Calibri"/>
          <w:b/>
          <w:color w:val="525866"/>
          <w:sz w:val="22"/>
        </w:rPr>
        <w:t xml:space="preserve">Beauty/wellness categories remain healthy: </w:t>
      </w:r>
      <w:r>
        <w:rPr>
          <w:rFonts w:ascii="Calibri" w:hAnsi="Calibri"/>
          <w:color w:val="525866"/>
          <w:sz w:val="22"/>
        </w:rPr>
        <w:t>ULTA noted “beauty and wellness categories remain healthy and engagement is strong” despite macroeconomic uncertainty and fuel price pressures. This is a mild positive for TSCO’s pet category — consumers are still spending on pet care/wellness even in a cautious environment.</w:t>
      </w:r>
    </w:p>
    <w:p>
      <w:pPr>
        <w:pStyle w:val="ListBullet"/>
        <w:ind w:left="360" w:hanging="360"/>
      </w:pPr>
      <w:r>
        <w:rPr>
          <w:rFonts w:ascii="Calibri" w:hAnsi="Calibri"/>
          <w:b/>
          <w:color w:val="525866"/>
          <w:sz w:val="22"/>
        </w:rPr>
        <w:t xml:space="preserve">Value increasingly important: </w:t>
      </w:r>
      <w:r>
        <w:rPr>
          <w:rFonts w:ascii="Calibri" w:hAnsi="Calibri"/>
          <w:color w:val="525866"/>
          <w:sz w:val="22"/>
        </w:rPr>
        <w:t>ULTA flagged that “value [is] increasingly important as a consideration” for consumers facing fuel and inflation pressures. This is consistent with TSCO’s observation of customers focusing on needs-based spending and value — TSCO’s EDLP positioning and exclusive brands (4health, Retriever) should benefit from this trend.</w:t>
      </w:r>
    </w:p>
    <w:p>
      <w:pPr>
        <w:pStyle w:val="ListBullet"/>
        <w:ind w:left="360" w:hanging="360"/>
      </w:pPr>
      <w:r>
        <w:rPr>
          <w:rFonts w:ascii="Calibri" w:hAnsi="Calibri"/>
          <w:b/>
          <w:color w:val="525866"/>
          <w:sz w:val="22"/>
        </w:rPr>
        <w:t xml:space="preserve">Full-year comp guidance maintained at 2.5–3.5%: </w:t>
      </w:r>
      <w:r>
        <w:rPr>
          <w:rFonts w:ascii="Calibri" w:hAnsi="Calibri"/>
          <w:color w:val="525866"/>
          <w:sz w:val="22"/>
        </w:rPr>
        <w:t>ULTA maintained its full-year comp guidance despite a tough Q2 comparison (Q2 2025 was ULTA’s strongest quarter). The maintained guidance signals confidence in the consumer’s willingness to spend on discretionary/semi-discretionary categories — a mild positive for TSCO’s pet category recovery thesis.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Q2 / Forward Theme</w:t>
            </w:r>
          </w:p>
        </w:tc>
        <w:tc>
          <w:tcPr>
            <w:tcW w:type="dxa" w:w="1728"/>
            <w:shd w:val="clear" w:color="auto" w:fill="3B4259"/>
          </w:tcPr>
          <w:p>
            <w:r>
              <w:rPr>
                <w:rFonts w:ascii="Calibri" w:hAnsi="Calibri"/>
                <w:b/>
                <w:color w:val="FFFFFF"/>
                <w:sz w:val="22"/>
              </w:rPr>
              <w:t>TSCO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ASO</w:t>
            </w:r>
          </w:p>
        </w:tc>
        <w:tc>
          <w:tcPr>
            <w:tcW w:type="dxa" w:w="1728"/>
          </w:tcPr>
          <w:p>
            <w:r>
              <w:rPr>
                <w:rFonts w:ascii="Calibri" w:hAnsi="Calibri"/>
                <w:sz w:val="22"/>
              </w:rPr>
              <w:t>Jun 9, 2026</w:t>
            </w:r>
          </w:p>
        </w:tc>
        <w:tc>
          <w:tcPr>
            <w:tcW w:type="dxa" w:w="1728"/>
          </w:tcPr>
          <w:p>
            <w:r>
              <w:rPr>
                <w:rFonts w:ascii="Calibri" w:hAnsi="Calibri"/>
                <w:sz w:val="22"/>
              </w:rPr>
              <w:t>Q2 consumer slowing (gas prices); flat comp through Memorial Day; outdoor/western lifestyle strong; raised FY guidance</w:t>
            </w:r>
          </w:p>
        </w:tc>
        <w:tc>
          <w:tcPr>
            <w:tcW w:type="dxa" w:w="1728"/>
          </w:tcPr>
          <w:p>
            <w:r>
              <w:rPr>
                <w:rFonts w:ascii="Calibri" w:hAnsi="Calibri"/>
                <w:sz w:val="22"/>
              </w:rPr>
              <w:t>Cautious on TSCO Q2 comp; positive on big-ticket/seasonal; fuel headwind for rural customer confirmed</w:t>
            </w:r>
          </w:p>
        </w:tc>
        <w:tc>
          <w:tcPr>
            <w:tcW w:type="dxa" w:w="1728"/>
          </w:tcPr>
          <w:p>
            <w:r>
              <w:rPr>
                <w:rFonts w:ascii="Calibri" w:hAnsi="Calibri"/>
                <w:b/>
                <w:sz w:val="22"/>
              </w:rPr>
              <w:t>Mixed</w:t>
            </w:r>
          </w:p>
        </w:tc>
      </w:tr>
      <w:tr>
        <w:tc>
          <w:tcPr>
            <w:tcW w:type="dxa" w:w="1728"/>
          </w:tcPr>
          <w:p>
            <w:r>
              <w:rPr>
                <w:rFonts w:ascii="Calibri" w:hAnsi="Calibri"/>
                <w:sz w:val="22"/>
              </w:rPr>
              <w:t>DKS</w:t>
            </w:r>
          </w:p>
        </w:tc>
        <w:tc>
          <w:tcPr>
            <w:tcW w:type="dxa" w:w="1728"/>
          </w:tcPr>
          <w:p>
            <w:r>
              <w:rPr>
                <w:rFonts w:ascii="Calibri" w:hAnsi="Calibri"/>
                <w:sz w:val="22"/>
              </w:rPr>
              <w:t>May 27, 2026</w:t>
            </w:r>
          </w:p>
        </w:tc>
        <w:tc>
          <w:tcPr>
            <w:tcW w:type="dxa" w:w="1728"/>
          </w:tcPr>
          <w:p>
            <w:r>
              <w:rPr>
                <w:rFonts w:ascii="Calibri" w:hAnsi="Calibri"/>
                <w:sz w:val="22"/>
              </w:rPr>
              <w:t>Healthy consumer, no trading down; sport is “hotttest category”; World Cup tailwind; raised comp guidance to 2.5–4%</w:t>
            </w:r>
          </w:p>
        </w:tc>
        <w:tc>
          <w:tcPr>
            <w:tcW w:type="dxa" w:w="1728"/>
          </w:tcPr>
          <w:p>
            <w:r>
              <w:rPr>
                <w:rFonts w:ascii="Calibri" w:hAnsi="Calibri"/>
                <w:sz w:val="22"/>
              </w:rPr>
              <w:t>Positive for TSCO’s big-ticket/seasonal; outdoor lifestyle consumer engaged; mild positive for Q2 setup</w:t>
            </w:r>
          </w:p>
        </w:tc>
        <w:tc>
          <w:tcPr>
            <w:tcW w:type="dxa" w:w="1728"/>
          </w:tcPr>
          <w:p>
            <w:r>
              <w:rPr>
                <w:rFonts w:ascii="Calibri" w:hAnsi="Calibri"/>
                <w:b/>
                <w:color w:val="30A46C"/>
                <w:sz w:val="22"/>
              </w:rPr>
              <w:t>Positive</w:t>
            </w:r>
          </w:p>
        </w:tc>
      </w:tr>
      <w:tr>
        <w:tc>
          <w:tcPr>
            <w:tcW w:type="dxa" w:w="1728"/>
          </w:tcPr>
          <w:p>
            <w:r>
              <w:rPr>
                <w:rFonts w:ascii="Calibri" w:hAnsi="Calibri"/>
                <w:sz w:val="22"/>
              </w:rPr>
              <w:t>ORLY</w:t>
            </w:r>
          </w:p>
        </w:tc>
        <w:tc>
          <w:tcPr>
            <w:tcW w:type="dxa" w:w="1728"/>
          </w:tcPr>
          <w:p>
            <w:r>
              <w:rPr>
                <w:rFonts w:ascii="Calibri" w:hAnsi="Calibri"/>
                <w:sz w:val="22"/>
              </w:rPr>
              <w:t>Apr 30, 2026</w:t>
            </w:r>
          </w:p>
        </w:tc>
        <w:tc>
          <w:tcPr>
            <w:tcW w:type="dxa" w:w="1728"/>
          </w:tcPr>
          <w:p>
            <w:r>
              <w:rPr>
                <w:rFonts w:ascii="Calibri" w:hAnsi="Calibri"/>
                <w:sz w:val="22"/>
              </w:rPr>
              <w:t>Cautious consumer outlook; fuel price sensitivity flagged; no demand pullback as of April; maintained 3–5% comp guidance</w:t>
            </w:r>
          </w:p>
        </w:tc>
        <w:tc>
          <w:tcPr>
            <w:tcW w:type="dxa" w:w="1728"/>
          </w:tcPr>
          <w:p>
            <w:r>
              <w:rPr>
                <w:rFonts w:ascii="Calibri" w:hAnsi="Calibri"/>
                <w:sz w:val="22"/>
              </w:rPr>
              <w:t>Rural consumer holding up in April; fuel headwind real but not yet demand-destructive; consistent with TSCO’s own narrative</w:t>
            </w:r>
          </w:p>
        </w:tc>
        <w:tc>
          <w:tcPr>
            <w:tcW w:type="dxa" w:w="1728"/>
          </w:tcPr>
          <w:p>
            <w:r>
              <w:rPr>
                <w:rFonts w:ascii="Calibri" w:hAnsi="Calibri"/>
                <w:b/>
                <w:sz w:val="22"/>
              </w:rPr>
              <w:t>Neutral</w:t>
            </w:r>
          </w:p>
        </w:tc>
      </w:tr>
      <w:tr>
        <w:tc>
          <w:tcPr>
            <w:tcW w:type="dxa" w:w="1728"/>
          </w:tcPr>
          <w:p>
            <w:r>
              <w:rPr>
                <w:rFonts w:ascii="Calibri" w:hAnsi="Calibri"/>
                <w:sz w:val="22"/>
              </w:rPr>
              <w:t>FIVE</w:t>
            </w:r>
          </w:p>
        </w:tc>
        <w:tc>
          <w:tcPr>
            <w:tcW w:type="dxa" w:w="1728"/>
          </w:tcPr>
          <w:p>
            <w:r>
              <w:rPr>
                <w:rFonts w:ascii="Calibri" w:hAnsi="Calibri"/>
                <w:sz w:val="22"/>
              </w:rPr>
              <w:t>Jun 3, 2026</w:t>
            </w:r>
          </w:p>
        </w:tc>
        <w:tc>
          <w:tcPr>
            <w:tcW w:type="dxa" w:w="1728"/>
          </w:tcPr>
          <w:p>
            <w:r>
              <w:rPr>
                <w:rFonts w:ascii="Calibri" w:hAnsi="Calibri"/>
                <w:sz w:val="22"/>
              </w:rPr>
              <w:t>Cautious macro; tax refund tailwind in Q1 may not repeat in Q2; no trade-down evidence; raised Q2 comp to 7–9%</w:t>
            </w:r>
          </w:p>
        </w:tc>
        <w:tc>
          <w:tcPr>
            <w:tcW w:type="dxa" w:w="1728"/>
          </w:tcPr>
          <w:p>
            <w:r>
              <w:rPr>
                <w:rFonts w:ascii="Calibri" w:hAnsi="Calibri"/>
                <w:sz w:val="22"/>
              </w:rPr>
              <w:t>Mild negative: Q1 tax refund tailwind may not repeat; but no trade-down is positive for TSCO’s needs-based model</w:t>
            </w:r>
          </w:p>
        </w:tc>
        <w:tc>
          <w:tcPr>
            <w:tcW w:type="dxa" w:w="1728"/>
          </w:tcPr>
          <w:p>
            <w:r>
              <w:rPr>
                <w:rFonts w:ascii="Calibri" w:hAnsi="Calibri"/>
                <w:b/>
                <w:sz w:val="22"/>
              </w:rPr>
              <w:t>Mixed</w:t>
            </w:r>
          </w:p>
        </w:tc>
      </w:tr>
      <w:tr>
        <w:tc>
          <w:tcPr>
            <w:tcW w:type="dxa" w:w="1728"/>
          </w:tcPr>
          <w:p>
            <w:r>
              <w:rPr>
                <w:rFonts w:ascii="Calibri" w:hAnsi="Calibri"/>
                <w:sz w:val="22"/>
              </w:rPr>
              <w:t>CASY</w:t>
            </w:r>
          </w:p>
        </w:tc>
        <w:tc>
          <w:tcPr>
            <w:tcW w:type="dxa" w:w="1728"/>
          </w:tcPr>
          <w:p>
            <w:r>
              <w:rPr>
                <w:rFonts w:ascii="Calibri" w:hAnsi="Calibri"/>
                <w:sz w:val="22"/>
              </w:rPr>
              <w:t>Jun 10 / Jun 24, 2026</w:t>
            </w:r>
          </w:p>
        </w:tc>
        <w:tc>
          <w:tcPr>
            <w:tcW w:type="dxa" w:w="1728"/>
          </w:tcPr>
          <w:p>
            <w:r>
              <w:rPr>
                <w:rFonts w:ascii="Calibri" w:hAnsi="Calibri"/>
                <w:sz w:val="22"/>
              </w:rPr>
              <w:t>Rural consumer “hanging in there”; May trends on track; fuel at ~$4.20/gal (below demand-destruction threshold); FY EBITDA +8–10%</w:t>
            </w:r>
          </w:p>
        </w:tc>
        <w:tc>
          <w:tcPr>
            <w:tcW w:type="dxa" w:w="1728"/>
          </w:tcPr>
          <w:p>
            <w:r>
              <w:rPr>
                <w:rFonts w:ascii="Calibri" w:hAnsi="Calibri"/>
                <w:sz w:val="22"/>
              </w:rPr>
              <w:t>Most geographically relevant peer; rural consumer stable in May; positive read-through for TSCO’s Q2 start</w:t>
            </w:r>
          </w:p>
        </w:tc>
        <w:tc>
          <w:tcPr>
            <w:tcW w:type="dxa" w:w="1728"/>
          </w:tcPr>
          <w:p>
            <w:r>
              <w:rPr>
                <w:rFonts w:ascii="Calibri" w:hAnsi="Calibri"/>
                <w:b/>
                <w:color w:val="30A46C"/>
                <w:sz w:val="22"/>
              </w:rPr>
              <w:t>Positive</w:t>
            </w:r>
          </w:p>
        </w:tc>
      </w:tr>
      <w:tr>
        <w:tc>
          <w:tcPr>
            <w:tcW w:type="dxa" w:w="1728"/>
          </w:tcPr>
          <w:p>
            <w:r>
              <w:rPr>
                <w:rFonts w:ascii="Calibri" w:hAnsi="Calibri"/>
                <w:sz w:val="22"/>
              </w:rPr>
              <w:t>ULTA</w:t>
            </w:r>
          </w:p>
        </w:tc>
        <w:tc>
          <w:tcPr>
            <w:tcW w:type="dxa" w:w="1728"/>
          </w:tcPr>
          <w:p>
            <w:r>
              <w:rPr>
                <w:rFonts w:ascii="Calibri" w:hAnsi="Calibri"/>
                <w:sz w:val="22"/>
              </w:rPr>
              <w:t>Jun 2, 2026</w:t>
            </w:r>
          </w:p>
        </w:tc>
        <w:tc>
          <w:tcPr>
            <w:tcW w:type="dxa" w:w="1728"/>
          </w:tcPr>
          <w:p>
            <w:r>
              <w:rPr>
                <w:rFonts w:ascii="Calibri" w:hAnsi="Calibri"/>
                <w:sz w:val="22"/>
              </w:rPr>
              <w:t>Beauty/wellness healthy; value increasingly important; maintained 2.5–3.5% comp guidance</w:t>
            </w:r>
          </w:p>
        </w:tc>
        <w:tc>
          <w:tcPr>
            <w:tcW w:type="dxa" w:w="1728"/>
          </w:tcPr>
          <w:p>
            <w:r>
              <w:rPr>
                <w:rFonts w:ascii="Calibri" w:hAnsi="Calibri"/>
                <w:sz w:val="22"/>
              </w:rPr>
              <w:t>Consumers still spending on pet/wellness; value positioning (4health, Retriever) should benefit; mild positive for pet recovery thesis</w:t>
            </w:r>
          </w:p>
        </w:tc>
        <w:tc>
          <w:tcPr>
            <w:tcW w:type="dxa" w:w="1728"/>
          </w:tcPr>
          <w:p>
            <w:r>
              <w:rPr>
                <w:rFonts w:ascii="Calibri" w:hAnsi="Calibri"/>
                <w:b/>
                <w:sz w:val="22"/>
              </w:rPr>
              <w:t>Mild Positive</w:t>
            </w:r>
          </w:p>
        </w:tc>
      </w:tr>
    </w:tbl>
    <w:p>
      <w:r>
        <w:rPr>
          <w:rFonts w:ascii="Calibri" w:hAnsi="Calibri"/>
          <w:b/>
          <w:color w:val="525866"/>
          <w:sz w:val="22"/>
        </w:rPr>
        <w:t xml:space="preserve">Overall peer read-through: </w:t>
      </w:r>
      <w:r>
        <w:rPr>
          <w:rFonts w:ascii="Calibri" w:hAnsi="Calibri"/>
          <w:color w:val="525866"/>
          <w:sz w:val="22"/>
        </w:rPr>
        <w:t>The consumer backdrop for Q2 2026 is cautious but not deteriorating — rural consumers are spending on needs-based categories, fuel prices are elevated but below demand-destruction thresholds, and outdoor/lifestyle categories remain healthy. The most relevant peers (CASY, ASO) confirm the rural consumer held up through May. The key TSCO-specific risk (companion animal structural headwind) has no direct peer read-through, making the Q2 pet category data the critical swing factor that peers cannot inform.</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chain-wide Q2 dog food upgrade and aggressive fresh/frozen pet rollout</w:t>
      </w:r>
      <w:r>
        <w:rPr>
          <w:rFonts w:ascii="Calibri" w:hAnsi="Calibri"/>
          <w:color w:val="525866"/>
          <w:sz w:val="22"/>
        </w:rPr>
        <w:t xml:space="preserve"> — these are the primary catalysts management is executing against to stabilize the companion animal category, and Q2 results will be the first real test of whether these initiatives are gaining traction.</w:t>
      </w:r>
    </w:p>
    <w:p>
      <w:pPr>
        <w:pStyle w:val="ListBullet"/>
        <w:ind w:left="360" w:hanging="360"/>
      </w:pPr>
      <w:r>
        <w:rPr>
          <w:rFonts w:ascii="Calibri" w:hAnsi="Calibri"/>
          <w:b/>
          <w:color w:val="525866"/>
          <w:sz w:val="22"/>
        </w:rPr>
        <w:t>April 21, 2026 — Q1 2026 Earnings: Miss on EPS and Revenue; Guidance Reaffirmed.</w:t>
      </w:r>
      <w:r>
        <w:rPr>
          <w:rFonts w:ascii="Calibri" w:hAnsi="Calibri"/>
          <w:i/>
          <w:color w:val="525866"/>
          <w:sz w:val="22"/>
        </w:rPr>
        <w:t xml:space="preserve"> TSCO reported Q1 EPS of $0.31 vs. $0.34 consensus and net sales of $3.59B vs. $3.63B consensus. Comp sales of +0.5% missed the +1.57% consensus. Companion animal was the primary drag at 100+ bps headwind. Full-year guidance reaffirmed (1–3% comp per quarter, FY EPS $2.13–$2.23). Stock fell sharply on the day. </w:t>
      </w:r>
      <w:r>
        <w:rPr>
          <w:rFonts w:ascii="Calibri" w:hAnsi="Calibri"/>
          <w:color w:val="525866"/>
          <w:sz w:val="22"/>
        </w:rPr>
        <w:t>Implication: Sets a low bar for Q2 but raises the stakes for pet category traction.</w:t>
      </w:r>
    </w:p>
    <w:p>
      <w:pPr>
        <w:pStyle w:val="ListBullet"/>
        <w:ind w:left="360" w:hanging="360"/>
      </w:pPr>
      <w:r>
        <w:rPr>
          <w:rFonts w:ascii="Calibri" w:hAnsi="Calibri"/>
          <w:b/>
          <w:color w:val="525866"/>
          <w:sz w:val="22"/>
        </w:rPr>
        <w:t>Q2 2026 (ongoing) — Chain-Wide Dog Food Upgrade.</w:t>
      </w:r>
      <w:r>
        <w:rPr>
          <w:rFonts w:ascii="Calibri" w:hAnsi="Calibri"/>
          <w:i/>
          <w:color w:val="525866"/>
          <w:sz w:val="22"/>
        </w:rPr>
        <w:t xml:space="preserve"> Management announced on the Q1 call a “comprehensive chain-wide upgrade of our food business in Q2” extending into shreds, treats, and meal enhancers, introducing Stella &amp; Chewy and broadening Purina Pro Plan, Hill’s Science Diet, Victor, and SPORTMiX. </w:t>
      </w:r>
      <w:r>
        <w:rPr>
          <w:rFonts w:ascii="Calibri" w:hAnsi="Calibri"/>
          <w:color w:val="525866"/>
          <w:sz w:val="22"/>
        </w:rPr>
        <w:t>Implication: This is the single most important initiative for Q2 — any management commentary on early traction will be closely watched.</w:t>
      </w:r>
    </w:p>
    <w:p>
      <w:pPr>
        <w:pStyle w:val="ListBullet"/>
        <w:ind w:left="360" w:hanging="360"/>
      </w:pPr>
      <w:r>
        <w:rPr>
          <w:rFonts w:ascii="Calibri" w:hAnsi="Calibri"/>
          <w:b/>
          <w:color w:val="525866"/>
          <w:sz w:val="22"/>
        </w:rPr>
        <w:t>Q2 2026 (ongoing) — Fresh/Frozen Pet Rollout Scaling.</w:t>
      </w:r>
      <w:r>
        <w:rPr>
          <w:rFonts w:ascii="Calibri" w:hAnsi="Calibri"/>
          <w:i/>
          <w:color w:val="525866"/>
          <w:sz w:val="22"/>
        </w:rPr>
        <w:t xml:space="preserve"> TSCO was scaling fresh/frozen pet from ~80 stores to 250+ by end of May, targeting 700 stores by year-end. </w:t>
      </w:r>
      <w:r>
        <w:rPr>
          <w:rFonts w:ascii="Calibri" w:hAnsi="Calibri"/>
          <w:color w:val="525866"/>
          <w:sz w:val="22"/>
        </w:rPr>
        <w:t>Implication: If the rollout is on track, management will likely provide an update on store count and early sales data — a key data point for the pet recovery thesis.</w:t>
      </w:r>
    </w:p>
    <w:p>
      <w:pPr>
        <w:pStyle w:val="ListBullet"/>
        <w:ind w:left="360" w:hanging="360"/>
      </w:pPr>
      <w:r>
        <w:rPr>
          <w:rFonts w:ascii="Calibri" w:hAnsi="Calibri"/>
          <w:b/>
          <w:color w:val="525866"/>
          <w:sz w:val="22"/>
        </w:rPr>
        <w:t>Q2 2026 (ongoing) — Wildlife &amp; Recreation Department Expansion.</w:t>
      </w:r>
      <w:r>
        <w:rPr>
          <w:rFonts w:ascii="Calibri" w:hAnsi="Calibri"/>
          <w:i/>
          <w:color w:val="525866"/>
          <w:sz w:val="22"/>
        </w:rPr>
        <w:t xml:space="preserve"> TSCO increased its outlook for in-store wildlife and rec department conversions from ~500 to ~700 by year-end. </w:t>
      </w:r>
      <w:r>
        <w:rPr>
          <w:rFonts w:ascii="Calibri" w:hAnsi="Calibri"/>
          <w:color w:val="525866"/>
          <w:sz w:val="22"/>
        </w:rPr>
        <w:t>Implication: Positive for big-ticket and seasonal categories; adds incremental comp contribution.</w:t>
      </w:r>
    </w:p>
    <w:p>
      <w:pPr>
        <w:pStyle w:val="ListBullet"/>
        <w:ind w:left="360" w:hanging="360"/>
      </w:pPr>
      <w:r>
        <w:rPr>
          <w:rFonts w:ascii="Calibri" w:hAnsi="Calibri"/>
          <w:b/>
          <w:color w:val="525866"/>
          <w:sz w:val="22"/>
        </w:rPr>
        <w:t>May 14, 2026 — Quarterly Dividend Declared ($0.24/share).</w:t>
      </w:r>
      <w:r>
        <w:rPr>
          <w:rFonts w:ascii="Calibri" w:hAnsi="Calibri"/>
          <w:i/>
          <w:color w:val="525866"/>
          <w:sz w:val="22"/>
        </w:rPr>
        <w:t xml:space="preserve"> TSCO declared its regular quarterly cash dividend of $0.24 per share. </w:t>
      </w:r>
      <w:r>
        <w:rPr>
          <w:rFonts w:ascii="Calibri" w:hAnsi="Calibri"/>
          <w:color w:val="525866"/>
          <w:sz w:val="22"/>
        </w:rPr>
        <w:t>Implication: Routine capital return; no change to payout policy; signals financial stability despite below-algorithm comps.</w:t>
      </w:r>
    </w:p>
    <w:p>
      <w:pPr>
        <w:pStyle w:val="ListBullet"/>
        <w:ind w:left="360" w:hanging="360"/>
      </w:pPr>
      <w:r>
        <w:rPr>
          <w:rFonts w:ascii="Calibri" w:hAnsi="Calibri"/>
          <w:b/>
          <w:color w:val="525866"/>
          <w:sz w:val="22"/>
        </w:rPr>
        <w:t>May 15, 2026 — Annual Shareholder Meeting.</w:t>
      </w:r>
      <w:r>
        <w:rPr>
          <w:rFonts w:ascii="Calibri" w:hAnsi="Calibri"/>
          <w:i/>
          <w:color w:val="525866"/>
          <w:sz w:val="22"/>
        </w:rPr>
        <w:t xml:space="preserve"> Shareholders approved the board, auditor, and executive pay. Sonia Syngal appointed to Governance Committee (8-K/A filed). </w:t>
      </w:r>
      <w:r>
        <w:rPr>
          <w:rFonts w:ascii="Calibri" w:hAnsi="Calibri"/>
          <w:color w:val="525866"/>
          <w:sz w:val="22"/>
        </w:rPr>
        <w:t>Implication: No governance surprises; routine annual meeting.</w:t>
      </w:r>
    </w:p>
    <w:p>
      <w:pPr>
        <w:pStyle w:val="ListBullet"/>
        <w:ind w:left="360" w:hanging="360"/>
      </w:pPr>
      <w:r>
        <w:rPr>
          <w:rFonts w:ascii="Calibri" w:hAnsi="Calibri"/>
          <w:b/>
          <w:color w:val="525866"/>
          <w:sz w:val="22"/>
        </w:rPr>
        <w:t>May 13, 2026 — Baird 2026 Global Consumer Conference Participation.</w:t>
      </w:r>
      <w:r>
        <w:rPr>
          <w:rFonts w:ascii="Calibri" w:hAnsi="Calibri"/>
          <w:i/>
          <w:color w:val="525866"/>
          <w:sz w:val="22"/>
        </w:rPr>
        <w:t xml:space="preserve"> TSCO participated in the Baird conference. No material guidance updates were disclosed. </w:t>
      </w:r>
      <w:r>
        <w:rPr>
          <w:rFonts w:ascii="Calibri" w:hAnsi="Calibri"/>
          <w:color w:val="525866"/>
          <w:sz w:val="22"/>
        </w:rPr>
        <w:t>Implication: Management maintained its Q1 guidance posture; no pre-announcement or guidance revision.</w:t>
      </w:r>
    </w:p>
    <w:p>
      <w:pPr>
        <w:pStyle w:val="ListBullet"/>
        <w:ind w:left="360" w:hanging="360"/>
      </w:pPr>
      <w:r>
        <w:rPr>
          <w:rFonts w:ascii="Calibri" w:hAnsi="Calibri"/>
          <w:b/>
          <w:color w:val="525866"/>
          <w:sz w:val="22"/>
        </w:rPr>
        <w:t>July 2, 2026 — Q2 Earnings Webcast Announced.</w:t>
      </w:r>
      <w:r>
        <w:rPr>
          <w:rFonts w:ascii="Calibri" w:hAnsi="Calibri"/>
          <w:i/>
          <w:color w:val="525866"/>
          <w:sz w:val="22"/>
        </w:rPr>
        <w:t xml:space="preserve"> TSCO confirmed Q2 2026 results will be released before market open on July 23, 2026, with a conference call at 10 a.m. ET hosted by CEO Hal Lawton and CFO Kurt Barton. </w:t>
      </w:r>
      <w:r>
        <w:rPr>
          <w:rFonts w:ascii="Calibri" w:hAnsi="Calibri"/>
          <w:color w:val="525866"/>
          <w:sz w:val="22"/>
        </w:rPr>
        <w:t>Implication: Confirms earnings date; no pre-announcement or guidance update filed.</w:t>
      </w:r>
    </w:p>
    <w:p>
      <w:pPr>
        <w:pStyle w:val="ListBullet"/>
        <w:ind w:left="360" w:hanging="360"/>
      </w:pPr>
      <w:r>
        <w:rPr>
          <w:rFonts w:ascii="Calibri" w:hAnsi="Calibri"/>
          <w:b/>
          <w:color w:val="525866"/>
          <w:sz w:val="22"/>
        </w:rPr>
        <w:t>Macro — Fuel Prices Elevated.</w:t>
      </w:r>
      <w:r>
        <w:rPr>
          <w:rFonts w:ascii="Calibri" w:hAnsi="Calibri"/>
          <w:i/>
          <w:color w:val="525866"/>
          <w:sz w:val="22"/>
        </w:rPr>
        <w:t xml:space="preserve"> Fuel prices have remained elevated through Q2 (CASY noted ~$4.20/gallon average retail in June). TSCO management updated internal models for higher fuel costs in Q2–Q3 on the Q1 call. </w:t>
      </w:r>
      <w:r>
        <w:rPr>
          <w:rFonts w:ascii="Calibri" w:hAnsi="Calibri"/>
          <w:color w:val="525866"/>
          <w:sz w:val="22"/>
        </w:rPr>
        <w:t>Implication: Gross margin headwind from fuel/delivery costs in Q2; management has already incorporated this into guidance.</w:t>
      </w:r>
    </w:p>
    <w:p>
      <w:pPr>
        <w:pStyle w:val="ListBullet"/>
        <w:ind w:left="360" w:hanging="360"/>
      </w:pPr>
      <w:r>
        <w:rPr>
          <w:rFonts w:ascii="Calibri" w:hAnsi="Calibri"/>
          <w:b/>
          <w:color w:val="525866"/>
          <w:sz w:val="22"/>
        </w:rPr>
        <w:t>Macro — Tariff Environment.</w:t>
      </w:r>
      <w:r>
        <w:rPr>
          <w:rFonts w:ascii="Calibri" w:hAnsi="Calibri"/>
          <w:i/>
          <w:color w:val="525866"/>
          <w:sz w:val="22"/>
        </w:rPr>
        <w:t xml:space="preserve"> TSCO management noted tariff impacts “remain in line with expectations, largely contained and mitigated through ongoing cost management efforts.” Inflation expected at 1–2% for FY 2026. </w:t>
      </w:r>
      <w:r>
        <w:rPr>
          <w:rFonts w:ascii="Calibri" w:hAnsi="Calibri"/>
          <w:color w:val="525866"/>
          <w:sz w:val="22"/>
        </w:rPr>
        <w:t>Implication: Tariffs are a manageable headwind; no material guidance risk from tariff escalation based on current posture.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w:t>
      </w:r>
      <w:r>
        <w:rPr>
          <w:rFonts w:ascii="Calibri" w:hAnsi="Calibri"/>
          <w:b/>
          <w:color w:val="525866"/>
          <w:sz w:val="22"/>
        </w:rPr>
        <w:t>non-discretionary equity awards to directors</w:t>
      </w:r>
      <w:r>
        <w:rPr>
          <w:rFonts w:ascii="Calibri" w:hAnsi="Calibri"/>
          <w:color w:val="525866"/>
          <w:sz w:val="22"/>
        </w:rPr>
        <w:t xml:space="preserve"> — no open-market buys or sells by executives or directors. The absence of any open-market buying by insiders at a 52-week low is notable but not alarming given the award-only nature of all filings. No 10b5-1 plan initiations or discretionary sales have been filed.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Brown, Joy</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5,712 shares</w:t>
            </w:r>
          </w:p>
        </w:tc>
        <w:tc>
          <w:tcPr>
            <w:tcW w:type="dxa" w:w="1440"/>
          </w:tcPr>
          <w:p>
            <w:r>
              <w:rPr>
                <w:rFonts w:ascii="Calibri" w:hAnsi="Calibri"/>
                <w:sz w:val="22"/>
              </w:rPr>
              <w:t>May 14, 2026</w:t>
            </w:r>
          </w:p>
        </w:tc>
        <w:tc>
          <w:tcPr>
            <w:tcW w:type="dxa" w:w="1440"/>
          </w:tcPr>
          <w:p>
            <w:r>
              <w:rPr>
                <w:rFonts w:ascii="Calibri" w:hAnsi="Calibri"/>
                <w:sz w:val="22"/>
              </w:rPr>
              <w:t>Annual director equity grant; non-discretionary; not an open-market purchase</w:t>
            </w:r>
          </w:p>
        </w:tc>
      </w:tr>
      <w:tr>
        <w:tc>
          <w:tcPr>
            <w:tcW w:type="dxa" w:w="1440"/>
          </w:tcPr>
          <w:p>
            <w:r>
              <w:rPr>
                <w:rFonts w:ascii="Calibri" w:hAnsi="Calibri"/>
                <w:sz w:val="22"/>
              </w:rPr>
              <w:t>Cardenas, Ricardo</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5,712 shares</w:t>
            </w:r>
          </w:p>
        </w:tc>
        <w:tc>
          <w:tcPr>
            <w:tcW w:type="dxa" w:w="1440"/>
          </w:tcPr>
          <w:p>
            <w:r>
              <w:rPr>
                <w:rFonts w:ascii="Calibri" w:hAnsi="Calibri"/>
                <w:sz w:val="22"/>
              </w:rPr>
              <w:t>May 14,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Ham, Margaret M.</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5,712 shares</w:t>
            </w:r>
          </w:p>
        </w:tc>
        <w:tc>
          <w:tcPr>
            <w:tcW w:type="dxa" w:w="1440"/>
          </w:tcPr>
          <w:p>
            <w:r>
              <w:rPr>
                <w:rFonts w:ascii="Calibri" w:hAnsi="Calibri"/>
                <w:sz w:val="22"/>
              </w:rPr>
              <w:t>May 14,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Hawaux, Andre J.</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5,712 shares</w:t>
            </w:r>
          </w:p>
        </w:tc>
        <w:tc>
          <w:tcPr>
            <w:tcW w:type="dxa" w:w="1440"/>
          </w:tcPr>
          <w:p>
            <w:r>
              <w:rPr>
                <w:rFonts w:ascii="Calibri" w:hAnsi="Calibri"/>
                <w:sz w:val="22"/>
              </w:rPr>
              <w:t>May 14,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Jackson, Denise L.</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5,712 shares</w:t>
            </w:r>
          </w:p>
        </w:tc>
        <w:tc>
          <w:tcPr>
            <w:tcW w:type="dxa" w:w="1440"/>
          </w:tcPr>
          <w:p>
            <w:r>
              <w:rPr>
                <w:rFonts w:ascii="Calibri" w:hAnsi="Calibri"/>
                <w:sz w:val="22"/>
              </w:rPr>
              <w:t>May 14,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Krishnan, Ramkumar</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5,712 shares</w:t>
            </w:r>
          </w:p>
        </w:tc>
        <w:tc>
          <w:tcPr>
            <w:tcW w:type="dxa" w:w="1440"/>
          </w:tcPr>
          <w:p>
            <w:r>
              <w:rPr>
                <w:rFonts w:ascii="Calibri" w:hAnsi="Calibri"/>
                <w:sz w:val="22"/>
              </w:rPr>
              <w:t>May 14,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Morris, Edna</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9,174 shares</w:t>
            </w:r>
          </w:p>
        </w:tc>
        <w:tc>
          <w:tcPr>
            <w:tcW w:type="dxa" w:w="1440"/>
          </w:tcPr>
          <w:p>
            <w:r>
              <w:rPr>
                <w:rFonts w:ascii="Calibri" w:hAnsi="Calibri"/>
                <w:sz w:val="22"/>
              </w:rPr>
              <w:t>May 14, 2026</w:t>
            </w:r>
          </w:p>
        </w:tc>
        <w:tc>
          <w:tcPr>
            <w:tcW w:type="dxa" w:w="1440"/>
          </w:tcPr>
          <w:p>
            <w:r>
              <w:rPr>
                <w:rFonts w:ascii="Calibri" w:hAnsi="Calibri"/>
                <w:sz w:val="22"/>
              </w:rPr>
              <w:t>Annual director equity grant; non-discretionary; larger grant size may reflect committee role</w:t>
            </w:r>
          </w:p>
        </w:tc>
      </w:tr>
      <w:tr>
        <w:tc>
          <w:tcPr>
            <w:tcW w:type="dxa" w:w="1440"/>
          </w:tcPr>
          <w:p>
            <w:r>
              <w:rPr>
                <w:rFonts w:ascii="Calibri" w:hAnsi="Calibri"/>
                <w:sz w:val="22"/>
              </w:rPr>
              <w:t>Syngal, Sonia</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5,712 shares</w:t>
            </w:r>
          </w:p>
        </w:tc>
        <w:tc>
          <w:tcPr>
            <w:tcW w:type="dxa" w:w="1440"/>
          </w:tcPr>
          <w:p>
            <w:r>
              <w:rPr>
                <w:rFonts w:ascii="Calibri" w:hAnsi="Calibri"/>
                <w:sz w:val="22"/>
              </w:rPr>
              <w:t>May 14, 2026</w:t>
            </w:r>
          </w:p>
        </w:tc>
        <w:tc>
          <w:tcPr>
            <w:tcW w:type="dxa" w:w="1440"/>
          </w:tcPr>
          <w:p>
            <w:r>
              <w:rPr>
                <w:rFonts w:ascii="Calibri" w:hAnsi="Calibri"/>
                <w:sz w:val="22"/>
              </w:rPr>
              <w:t>Annual director equity grant; non-discretionary; newly appointed to Governance Committee</w:t>
            </w:r>
          </w:p>
        </w:tc>
      </w:tr>
      <w:tr>
        <w:tc>
          <w:tcPr>
            <w:tcW w:type="dxa" w:w="1440"/>
          </w:tcPr>
          <w:p>
            <w:r>
              <w:rPr>
                <w:rFonts w:ascii="Calibri" w:hAnsi="Calibri"/>
                <w:sz w:val="22"/>
              </w:rPr>
              <w:t>Weikel, Mark J.</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5,712 shares</w:t>
            </w:r>
          </w:p>
        </w:tc>
        <w:tc>
          <w:tcPr>
            <w:tcW w:type="dxa" w:w="1440"/>
          </w:tcPr>
          <w:p>
            <w:r>
              <w:rPr>
                <w:rFonts w:ascii="Calibri" w:hAnsi="Calibri"/>
                <w:sz w:val="22"/>
              </w:rPr>
              <w:t>May 14, 2026</w:t>
            </w:r>
          </w:p>
        </w:tc>
        <w:tc>
          <w:tcPr>
            <w:tcW w:type="dxa" w:w="1440"/>
          </w:tcPr>
          <w:p>
            <w:r>
              <w:rPr>
                <w:rFonts w:ascii="Calibri" w:hAnsi="Calibri"/>
                <w:sz w:val="22"/>
              </w:rPr>
              <w:t>Annual director equity grant; non-discretionary</w:t>
            </w:r>
          </w:p>
        </w:tc>
      </w:tr>
      <w:tr>
        <w:tc>
          <w:tcPr>
            <w:tcW w:type="dxa" w:w="1440"/>
          </w:tcPr>
          <w:p>
            <w:r>
              <w:rPr>
                <w:rFonts w:ascii="Calibri" w:hAnsi="Calibri"/>
                <w:sz w:val="22"/>
              </w:rPr>
              <w:t>Ham, Margaret M.</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97.8 shares (dividend equivalent)</w:t>
            </w:r>
          </w:p>
        </w:tc>
        <w:tc>
          <w:tcPr>
            <w:tcW w:type="dxa" w:w="1440"/>
          </w:tcPr>
          <w:p>
            <w:r>
              <w:rPr>
                <w:rFonts w:ascii="Calibri" w:hAnsi="Calibri"/>
                <w:sz w:val="22"/>
              </w:rPr>
              <w:t>Jun 8, 2026</w:t>
            </w:r>
          </w:p>
        </w:tc>
        <w:tc>
          <w:tcPr>
            <w:tcW w:type="dxa" w:w="1440"/>
          </w:tcPr>
          <w:p>
            <w:r>
              <w:rPr>
                <w:rFonts w:ascii="Calibri" w:hAnsi="Calibri"/>
                <w:sz w:val="22"/>
              </w:rPr>
              <w:t>Dividend equivalent units; non-discretionary; automatic accrual on unvested RSUs</w:t>
            </w:r>
          </w:p>
        </w:tc>
      </w:tr>
      <w:tr>
        <w:tc>
          <w:tcPr>
            <w:tcW w:type="dxa" w:w="1440"/>
          </w:tcPr>
          <w:p>
            <w:r>
              <w:rPr>
                <w:rFonts w:ascii="Calibri" w:hAnsi="Calibri"/>
                <w:sz w:val="22"/>
              </w:rPr>
              <w:t>Ham, Margaret M.</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415.2 shares</w:t>
            </w:r>
          </w:p>
        </w:tc>
        <w:tc>
          <w:tcPr>
            <w:tcW w:type="dxa" w:w="1440"/>
          </w:tcPr>
          <w:p>
            <w:r>
              <w:rPr>
                <w:rFonts w:ascii="Calibri" w:hAnsi="Calibri"/>
                <w:sz w:val="22"/>
              </w:rPr>
              <w:t>Jul 1, 2026</w:t>
            </w:r>
          </w:p>
        </w:tc>
        <w:tc>
          <w:tcPr>
            <w:tcW w:type="dxa" w:w="1440"/>
          </w:tcPr>
          <w:p>
            <w:r>
              <w:rPr>
                <w:rFonts w:ascii="Calibri" w:hAnsi="Calibri"/>
                <w:sz w:val="22"/>
              </w:rPr>
              <w:t>Non-discretionary equity award; automatic grant</w:t>
            </w:r>
          </w:p>
        </w:tc>
      </w:tr>
      <w:tr>
        <w:tc>
          <w:tcPr>
            <w:tcW w:type="dxa" w:w="1440"/>
          </w:tcPr>
          <w:p>
            <w:r>
              <w:rPr>
                <w:rFonts w:ascii="Calibri" w:hAnsi="Calibri"/>
                <w:sz w:val="22"/>
              </w:rPr>
              <w:t>Krishnan, Ramkumar</w:t>
            </w:r>
          </w:p>
        </w:tc>
        <w:tc>
          <w:tcPr>
            <w:tcW w:type="dxa" w:w="1440"/>
          </w:tcPr>
          <w:p>
            <w:r>
              <w:rPr>
                <w:rFonts w:ascii="Calibri" w:hAnsi="Calibri"/>
                <w:sz w:val="22"/>
              </w:rPr>
              <w:t>Director</w:t>
            </w:r>
          </w:p>
        </w:tc>
        <w:tc>
          <w:tcPr>
            <w:tcW w:type="dxa" w:w="1440"/>
          </w:tcPr>
          <w:p>
            <w:r>
              <w:rPr>
                <w:rFonts w:ascii="Calibri" w:hAnsi="Calibri"/>
                <w:sz w:val="22"/>
              </w:rPr>
              <w:t>Equity Award (Non-Discretionary)</w:t>
            </w:r>
          </w:p>
        </w:tc>
        <w:tc>
          <w:tcPr>
            <w:tcW w:type="dxa" w:w="1440"/>
          </w:tcPr>
          <w:p>
            <w:r>
              <w:rPr>
                <w:rFonts w:ascii="Calibri" w:hAnsi="Calibri"/>
                <w:sz w:val="22"/>
              </w:rPr>
              <w:t>830.4 shares</w:t>
            </w:r>
          </w:p>
        </w:tc>
        <w:tc>
          <w:tcPr>
            <w:tcW w:type="dxa" w:w="1440"/>
          </w:tcPr>
          <w:p>
            <w:r>
              <w:rPr>
                <w:rFonts w:ascii="Calibri" w:hAnsi="Calibri"/>
                <w:sz w:val="22"/>
              </w:rPr>
              <w:t>Jul 1, 2026</w:t>
            </w:r>
          </w:p>
        </w:tc>
        <w:tc>
          <w:tcPr>
            <w:tcW w:type="dxa" w:w="1440"/>
          </w:tcPr>
          <w:p>
            <w:r>
              <w:rPr>
                <w:rFonts w:ascii="Calibri" w:hAnsi="Calibri"/>
                <w:sz w:val="22"/>
              </w:rPr>
              <w:t>Non-discretionary equity award; automatic grant</w:t>
            </w:r>
          </w:p>
        </w:tc>
      </w:tr>
    </w:tbl>
    <w:p>
      <w:r>
        <w:rPr>
          <w:rFonts w:ascii="Calibri" w:hAnsi="Calibri"/>
          <w:i/>
          <w:color w:val="525866"/>
          <w:sz w:val="22"/>
        </w:rPr>
        <w:t>Source: Insider Transaction Data (SEC Form 4 filings).</w:t>
      </w:r>
    </w:p>
    <w:p>
      <w:r>
        <w:rPr>
          <w:rFonts w:ascii="Calibri" w:hAnsi="Calibri"/>
          <w:b/>
          <w:color w:val="525866"/>
          <w:sz w:val="22"/>
        </w:rPr>
        <w:t xml:space="preserve">Assessment: </w:t>
      </w:r>
      <w:r>
        <w:rPr>
          <w:rFonts w:ascii="Calibri" w:hAnsi="Calibri"/>
          <w:color w:val="525866"/>
          <w:sz w:val="22"/>
        </w:rPr>
        <w:t xml:space="preserve">All 12 transactions since Q1 earnings are non-discretionary equity awards to directors — annual grants, dividend equivalents, and automatic accruals. There are </w:t>
      </w:r>
      <w:r>
        <w:rPr>
          <w:rFonts w:ascii="Calibri" w:hAnsi="Calibri"/>
          <w:b/>
          <w:color w:val="525866"/>
          <w:sz w:val="22"/>
        </w:rPr>
        <w:t>zero open-market purchases or sales</w:t>
      </w:r>
      <w:r>
        <w:rPr>
          <w:rFonts w:ascii="Calibri" w:hAnsi="Calibri"/>
          <w:color w:val="525866"/>
          <w:sz w:val="22"/>
        </w:rPr>
        <w:t xml:space="preserve"> by any insider (directors or executives) since the Q1 print. The absence of open-market buying at a stock price near multi-year lows (~$29–30) is notable but not a red flag given the award-only nature of all filings. No 10b5-1 plan initiations or discretionary sales have been filed, which means there is no insider selling signal heading into Q2 earnings. The insider picture is neutral — no signal in either direction.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