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sco-earnings-predictions--2026-07-23"/>
    <w:p>
      <w:pPr>
        <w:pStyle w:val="Heading1"/>
      </w:pPr>
      <w:r>
        <w:t xml:space="preserve">TSCO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Comparable-store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+0.50% vs. cons +0.03%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$0.830 vs. cons $0.823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$4.610B vs. cons $4.592B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diluted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2.13</m:t>
              </m:r>
              <m:r>
                <m:rPr>
                  <m:sty m:val="p"/>
                </m:rPr>
                <m:t>−</m:t>
              </m:r>
            </m:oMath>
            <w:r>
              <w:t xml:space="preserve">2.23 vs. cons $2.046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+4% to +6%, midpoint $16.30B vs. cons $16.07B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comp sales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+1% to +3% vs. cons +0.45%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guide credibility remains the issue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2026-07-25T02:02:06Z</dcterms:created>
  <dcterms:modified xsi:type="dcterms:W3CDTF">2026-07-25T02:02:06Z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