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TSLA before writing the preview. Let me gather recent earnings, filings, news, and stock price data.Let me read the most recent earnings call (2026Q1) and search for Q2 delivery figures and analyst expectations.Let me read the Q2 delivery details, the reason for the post-delivery selloff, and the latest financials context.Let me grab the options-implied move detail and the most recent full financials for context.I have what I need. Here's the preview.</w:t>
      </w:r>
    </w:p>
    <w:p>
      <w:r>
        <w:pict>
          <v:rect style="width:0;height:1.5pt" o:hralign="center" o:hrstd="t" o:hr="t"/>
        </w:pict>
      </w:r>
    </w:p>
    <w:bookmarkStart w:id="20" w:name="tesla-tsla--q2-2026-earnings-preview"/>
    <w:p>
      <w:pPr>
        <w:pStyle w:val="Heading1"/>
      </w:pPr>
      <w:r>
        <w:t xml:space="preserve">Tesla (TSLA) — Q2 2026 Earnings Preview</w:t>
      </w:r>
    </w:p>
    <w:p>
      <w:pPr>
        <w:pStyle w:val="FirstParagraph"/>
      </w:pPr>
      <w:r>
        <w:rPr>
          <w:b/>
          <w:bCs/>
        </w:rPr>
        <w:t xml:space="preserve">Report date:</w:t>
      </w:r>
      <w:r>
        <w:t xml:space="preserve"> </w:t>
      </w:r>
      <w:r>
        <w:t xml:space="preserve">Wednesday, July 22, 2026 (after market close) ·</w:t>
      </w:r>
      <w:r>
        <w:t xml:space="preserve"> </w:t>
      </w:r>
      <w:r>
        <w:rPr>
          <w:b/>
          <w:bCs/>
        </w:rPr>
        <w:t xml:space="preserve">Event:</w:t>
      </w:r>
      <w:r>
        <w:t xml:space="preserve"> </w:t>
      </w:r>
      <w:r>
        <w:t xml:space="preserve">2026 Q2 Earnings Call</w:t>
      </w:r>
      <w:r>
        <w:t xml:space="preserve"> </w:t>
      </w:r>
      <w:r>
        <w:rPr>
          <w:b/>
          <w:bCs/>
        </w:rPr>
        <w:t xml:space="preserve">Stock (7/21 close):</w:t>
      </w:r>
      <w:r>
        <w:t xml:space="preserve"> </w:t>
      </w:r>
      <w:r>
        <w:t xml:space="preserve">~</w:t>
      </w:r>
      <m:oMath>
        <m:r>
          <m:t>379</m:t>
        </m:r>
        <m:r>
          <m:rPr>
            <m:sty m:val="p"/>
          </m:rPr>
          <m:t>·</m:t>
        </m:r>
        <m:r>
          <m:rPr>
            <m:sty m:val="p"/>
          </m:rPr>
          <m:t>*</m:t>
        </m:r>
        <m:r>
          <m:rPr>
            <m:sty m:val="p"/>
          </m:rPr>
          <m:t>*</m:t>
        </m:r>
        <m:r>
          <m:t>M</m:t>
        </m:r>
        <m:r>
          <m:t>a</m:t>
        </m:r>
        <m:r>
          <m:t>r</m:t>
        </m:r>
        <m:r>
          <m:t>k</m:t>
        </m:r>
        <m:r>
          <m:t>e</m:t>
        </m:r>
        <m:r>
          <m:t>t</m:t>
        </m:r>
        <m:r>
          <m:t>c</m:t>
        </m:r>
        <m:r>
          <m:t>a</m:t>
        </m:r>
        <m:r>
          <m:t>p</m:t>
        </m:r>
        <m:r>
          <m:rPr>
            <m:sty m:val="p"/>
          </m:rPr>
          <m:t>:</m:t>
        </m:r>
        <m:r>
          <m:rPr>
            <m:sty m:val="p"/>
          </m:rPr>
          <m:t>*</m:t>
        </m:r>
        <m:r>
          <m:rPr>
            <m:sty m:val="p"/>
          </m:rPr>
          <m:t>*</m:t>
        </m:r>
        <m:r>
          <m:t> </m:t>
        </m:r>
      </m:oMath>
      <w:r>
        <w:t xml:space="preserve">1.4T ·</w:t>
      </w:r>
      <w:r>
        <w:t xml:space="preserve"> </w:t>
      </w:r>
      <w:r>
        <w:rPr>
          <w:b/>
          <w:bCs/>
        </w:rPr>
        <w:t xml:space="preserve">Options-implied move:</w:t>
      </w:r>
      <w:r>
        <w:t xml:space="preserve"> </w:t>
      </w:r>
      <w:r>
        <w:t xml:space="preserve">~5.8%</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a "prove the AI story is worth the spend" quarter. The Q2 delivery number is already public and was a blowout, so the surprise won't come from the car business — it will come from **margins, the ~</w:t>
      </w:r>
      <m:oMath>
        <m:r>
          <m:t>25</m:t>
        </m:r>
        <m:r>
          <m:t>B</m:t>
        </m:r>
        <m:r>
          <m:t>c</m:t>
        </m:r>
        <m:r>
          <m:t>a</m:t>
        </m:r>
        <m:r>
          <m:t>p</m:t>
        </m:r>
        <m:r>
          <m:t>e</m:t>
        </m:r>
        <m:r>
          <m:t>x</m:t>
        </m:r>
        <m:r>
          <m:t>r</m:t>
        </m:r>
        <m:r>
          <m:t>a</m:t>
        </m:r>
        <m:r>
          <m:t>m</m:t>
        </m:r>
        <m:r>
          <m:t>p</m:t>
        </m:r>
        <m:r>
          <m:rPr>
            <m:sty m:val="p"/>
          </m:rPr>
          <m:t>,</m:t>
        </m:r>
        <m:r>
          <m:t>a</m:t>
        </m:r>
        <m:r>
          <m:t>n</m:t>
        </m:r>
        <m:r>
          <m:t>d</m:t>
        </m:r>
        <m:r>
          <m:t>t</m:t>
        </m:r>
        <m:r>
          <m:t>a</m:t>
        </m:r>
        <m:r>
          <m:t>n</m:t>
        </m:r>
        <m:r>
          <m:t>g</m:t>
        </m:r>
        <m:r>
          <m:t>i</m:t>
        </m:r>
        <m:r>
          <m:t>b</m:t>
        </m:r>
        <m:r>
          <m:t>l</m:t>
        </m:r>
        <m:r>
          <m:t>e</m:t>
        </m:r>
        <m:r>
          <m:t>p</m:t>
        </m:r>
        <m:r>
          <m:t>r</m:t>
        </m:r>
        <m:r>
          <m:t>o</m:t>
        </m:r>
        <m:r>
          <m:t>g</m:t>
        </m:r>
        <m:r>
          <m:t>r</m:t>
        </m:r>
        <m:r>
          <m:t>e</m:t>
        </m:r>
        <m:r>
          <m:t>s</m:t>
        </m:r>
        <m:r>
          <m:t>s</m:t>
        </m:r>
        <m:r>
          <m:t>o</m:t>
        </m:r>
        <m:r>
          <m:t>n</m:t>
        </m:r>
        <m:r>
          <m:t>R</m:t>
        </m:r>
        <m:r>
          <m:t>o</m:t>
        </m:r>
        <m:r>
          <m:t>b</m:t>
        </m:r>
        <m:r>
          <m:t>o</m:t>
        </m:r>
        <m:r>
          <m:t>t</m:t>
        </m:r>
        <m:r>
          <m:t>a</m:t>
        </m:r>
        <m:r>
          <m:t>x</m:t>
        </m:r>
        <m:r>
          <m:t>i</m:t>
        </m:r>
        <m:r>
          <m:rPr>
            <m:sty m:val="p"/>
          </m:rPr>
          <m:t>,</m:t>
        </m:r>
        <m:r>
          <m:t>O</m:t>
        </m:r>
        <m:r>
          <m:t>p</m:t>
        </m:r>
        <m:r>
          <m:t>t</m:t>
        </m:r>
        <m:r>
          <m:t>i</m:t>
        </m:r>
        <m:r>
          <m:t>m</m:t>
        </m:r>
        <m:r>
          <m:t>u</m:t>
        </m:r>
        <m:r>
          <m:t>s</m:t>
        </m:r>
        <m:r>
          <m:rPr>
            <m:sty m:val="p"/>
          </m:rPr>
          <m:t>,</m:t>
        </m:r>
        <m:r>
          <m:t>F</m:t>
        </m:r>
        <m:r>
          <m:t>S</m:t>
        </m:r>
        <m:r>
          <m:t>D</m:t>
        </m:r>
        <m:r>
          <m:t>a</m:t>
        </m:r>
        <m:r>
          <m:t>n</m:t>
        </m:r>
        <m:r>
          <m:t>d</m:t>
        </m:r>
        <m:r>
          <m:t>t</m:t>
        </m:r>
        <m:r>
          <m:t>h</m:t>
        </m:r>
        <m:r>
          <m:t>e</m:t>
        </m:r>
        <m:r>
          <m:t>c</m:t>
        </m:r>
        <m:r>
          <m:t>h</m:t>
        </m:r>
        <m:r>
          <m:t>i</m:t>
        </m:r>
        <m:r>
          <m:t>p</m:t>
        </m:r>
        <m:r>
          <m:t>r</m:t>
        </m:r>
        <m:r>
          <m:t>o</m:t>
        </m:r>
        <m:r>
          <m:t>a</m:t>
        </m:r>
        <m:r>
          <m:t>d</m:t>
        </m:r>
        <m:r>
          <m:t>m</m:t>
        </m:r>
        <m:r>
          <m:t>a</m:t>
        </m:r>
        <m:r>
          <m:t>p</m:t>
        </m:r>
        <m:r>
          <m:rPr>
            <m:sty m:val="p"/>
          </m:rPr>
          <m:t>.</m:t>
        </m:r>
        <m:r>
          <m:rPr>
            <m:sty m:val="p"/>
          </m:rPr>
          <m:t>*</m:t>
        </m:r>
        <m:r>
          <m:rPr>
            <m:sty m:val="p"/>
          </m:rPr>
          <m:t>*</m:t>
        </m:r>
        <m:r>
          <m:t>W</m:t>
        </m:r>
        <m:r>
          <m:t>i</m:t>
        </m:r>
        <m:r>
          <m:t>t</m:t>
        </m:r>
        <m:r>
          <m:t>h</m:t>
        </m:r>
        <m:r>
          <m:t>a</m:t>
        </m:r>
        <m:r>
          <m:t>l</m:t>
        </m:r>
        <m:r>
          <m:t>a</m:t>
        </m:r>
        <m:r>
          <m:t>r</m:t>
        </m:r>
        <m:r>
          <m:t>g</m:t>
        </m:r>
        <m:r>
          <m:t>e</m:t>
        </m:r>
        <m:r>
          <m:t>c</m:t>
        </m:r>
        <m:r>
          <m:t>h</m:t>
        </m:r>
        <m:r>
          <m:t>u</m:t>
        </m:r>
        <m:r>
          <m:t>n</m:t>
        </m:r>
        <m:r>
          <m:t>k</m:t>
        </m:r>
        <m:r>
          <m:t>o</m:t>
        </m:r>
        <m:r>
          <m:t>f</m:t>
        </m:r>
        <m:r>
          <m:t>t</m:t>
        </m:r>
        <m:r>
          <m:t>h</m:t>
        </m:r>
        <m:r>
          <m:t>e</m:t>
        </m:r>
        <m:r>
          <m:t> </m:t>
        </m:r>
      </m:oMath>
      <w:r>
        <w:t xml:space="preserve">1.4T valuation resting on those unproven bets, the risk/reward is skewed to</w:t>
      </w:r>
      <w:r>
        <w:t xml:space="preserve"> </w:t>
      </w:r>
      <w:r>
        <w:rPr>
          <w:i/>
          <w:iCs/>
        </w:rPr>
        <w:t xml:space="preserve">narrative and guidance</w:t>
      </w:r>
      <w:r>
        <w:t xml:space="preserve"> </w:t>
      </w:r>
      <w:r>
        <w:t xml:space="preserve">rather than the P&amp;L.</w:t>
      </w:r>
    </w:p>
    <w:p>
      <w:r>
        <w:pict>
          <v:rect style="width:0;height:1.5pt" o:hralign="center" o:hrstd="t" o:hr="t"/>
        </w:pict>
      </w:r>
    </w:p>
    <w:bookmarkEnd w:id="9"/>
    <w:bookmarkStart w:id="10" w:name="X2d936ddd2e0f40761bd506d0a8f0e701c24a3bc"/>
    <w:p>
      <w:pPr>
        <w:pStyle w:val="Heading2"/>
      </w:pPr>
      <w:r>
        <w:t xml:space="preserve">What we already know (the delivery beat is in the bag)</w:t>
      </w:r>
    </w:p>
    <w:p>
      <w:pPr>
        <w:pStyle w:val="Compact"/>
        <w:numPr>
          <w:ilvl w:val="0"/>
          <w:numId w:val="1001"/>
        </w:numPr>
      </w:pPr>
      <w:r>
        <w:t xml:space="preserve">Tesla delivered</w:t>
      </w:r>
      <w:r>
        <w:t xml:space="preserve"> </w:t>
      </w:r>
      <w:r>
        <w:rPr>
          <w:b/>
          <w:bCs/>
        </w:rPr>
        <w:t xml:space="preserve">480,126 vehicles in Q2</w:t>
      </w:r>
      <w:r>
        <w:t xml:space="preserve">, up ~25% YoY — a Q2 record and well above the ~403k consensus (Visible Alpha). Production was 451,758, so</w:t>
      </w:r>
      <w:r>
        <w:t xml:space="preserve"> </w:t>
      </w:r>
      <w:r>
        <w:rPr>
          <w:b/>
          <w:bCs/>
        </w:rPr>
        <w:t xml:space="preserve">deliveries exceeded production by &gt;28,000 units</w:t>
      </w:r>
      <w:r>
        <w:t xml:space="preserve">, drawing down the inventory built in Q1.</w:t>
      </w:r>
    </w:p>
    <w:p>
      <w:pPr>
        <w:pStyle w:val="Compact"/>
        <w:numPr>
          <w:ilvl w:val="0"/>
          <w:numId w:val="1001"/>
        </w:numPr>
      </w:pPr>
      <w:r>
        <w:t xml:space="preserve">The upside was driven by a</w:t>
      </w:r>
      <w:r>
        <w:t xml:space="preserve"> </w:t>
      </w:r>
      <w:r>
        <w:rPr>
          <w:b/>
          <w:bCs/>
        </w:rPr>
        <w:t xml:space="preserve">European rebound</w:t>
      </w:r>
      <w:r>
        <w:t xml:space="preserve"> </w:t>
      </w:r>
      <w:r>
        <w:t xml:space="preserve">(aided by EV incentives, corporate-fleet electrification, higher fuel prices, and an easing of the anti-Musk consumer backlash), plus modest China growth on the refreshed Model Y — while</w:t>
      </w:r>
      <w:r>
        <w:t xml:space="preserve"> </w:t>
      </w:r>
      <w:r>
        <w:rPr>
          <w:b/>
          <w:bCs/>
        </w:rPr>
        <w:t xml:space="preserve">North America remained soft</w:t>
      </w:r>
      <w:r>
        <w:t xml:space="preserve">.</w:t>
      </w:r>
    </w:p>
    <w:p>
      <w:pPr>
        <w:pStyle w:val="Compact"/>
        <w:numPr>
          <w:ilvl w:val="0"/>
          <w:numId w:val="1001"/>
        </w:numPr>
      </w:pPr>
      <w:r>
        <w:t xml:space="preserve">Context: 2025 was a</w:t>
      </w:r>
      <w:r>
        <w:t xml:space="preserve"> </w:t>
      </w:r>
      <w:r>
        <w:rPr>
          <w:b/>
          <w:bCs/>
        </w:rPr>
        <w:t xml:space="preserve">second straight annual decline</w:t>
      </w:r>
      <w:r>
        <w:t xml:space="preserve"> </w:t>
      </w:r>
      <w:r>
        <w:t xml:space="preserve">(FY25 deliveries ~1.636M). Q2 is the first clean sign the auto franchise may be re-accelerating.</w:t>
      </w:r>
    </w:p>
    <w:p>
      <w:pPr>
        <w:pStyle w:val="FirstParagraph"/>
      </w:pPr>
      <w:r>
        <w:rPr>
          <w:b/>
          <w:bCs/>
        </w:rPr>
        <w:t xml:space="preserve">Why the beat isn't enough:</w:t>
      </w:r>
      <w:r>
        <w:t xml:space="preserve"> </w:t>
      </w:r>
      <w:r>
        <w:t xml:space="preserve">the stock actually</w:t>
      </w:r>
      <w:r>
        <w:t xml:space="preserve"> </w:t>
      </w:r>
      <w:r>
        <w:rPr>
          <w:i/>
          <w:iCs/>
        </w:rPr>
        <w:t xml:space="preserve">fell ~2–8% on the delivery day</w:t>
      </w:r>
      <w:r>
        <w:t xml:space="preserve"> </w:t>
      </w:r>
      <w:r>
        <w:t xml:space="preserve">because much of the good news had been pre-rallied (shares had run ~12% into the print). The bar for the call is high — as one Bloomberg preview put it, the delivery number "sets the bar" and attention now shifts entirely to the financial flow-through and the AI/robotics roadmap.</w:t>
      </w:r>
    </w:p>
    <w:p>
      <w:r>
        <w:pict>
          <v:rect style="width:0;height:1.5pt" o:hralign="center" o:hrstd="t" o:hr="t"/>
        </w:pict>
      </w:r>
    </w:p>
    <w:bookmarkEnd w:id="10"/>
    <w:bookmarkStart w:id="16" w:name="X968131667ec995e8aa45315b703bf3d1bfd2716"/>
    <w:p>
      <w:pPr>
        <w:pStyle w:val="Heading2"/>
      </w:pPr>
      <w:r>
        <w:t xml:space="preserve">The five things that will actually move the stock</w:t>
      </w:r>
    </w:p>
    <w:bookmarkStart w:id="11" w:name="X3f2a6e0de60c9498e96006c887672dee71b427b"/>
    <w:p>
      <w:pPr>
        <w:pStyle w:val="Heading3"/>
      </w:pPr>
      <w:r>
        <w:t xml:space="preserve">1. Margin flow-through — does volume translate to profit?</w:t>
      </w:r>
    </w:p>
    <w:p>
      <w:pPr>
        <w:pStyle w:val="FirstParagraph"/>
      </w:pPr>
      <w:r>
        <w:t xml:space="preserve">The key open question: with deliveries beating production and inventory drawn down,</w:t>
      </w:r>
      <w:r>
        <w:t xml:space="preserve"> </w:t>
      </w:r>
      <w:r>
        <w:rPr>
          <w:b/>
          <w:bCs/>
        </w:rPr>
        <w:t xml:space="preserve">what did automotive gross margin (ex-credits) do?</w:t>
      </w:r>
      <w:r>
        <w:t xml:space="preserve"> </w:t>
      </w:r>
      <w:r>
        <w:t xml:space="preserve">Recall Q1 2026:</w:t>
      </w:r>
    </w:p>
    <w:p>
      <w:pPr>
        <w:pStyle w:val="Compact"/>
        <w:numPr>
          <w:ilvl w:val="0"/>
          <w:numId w:val="1002"/>
        </w:numPr>
      </w:pPr>
      <w:r>
        <w:t xml:space="preserve">Auto gross margin ex-credits rose to</w:t>
      </w:r>
      <w:r>
        <w:t xml:space="preserve"> </w:t>
      </w:r>
      <w:r>
        <w:rPr>
          <w:b/>
          <w:bCs/>
        </w:rPr>
        <w:t xml:space="preserve">19.2%</w:t>
      </w:r>
      <w:r>
        <w:t xml:space="preserve"> </w:t>
      </w:r>
      <w:r>
        <w:t xml:space="preserve">(from 17.9%), but that included a</w:t>
      </w:r>
      <w:r>
        <w:t xml:space="preserve"> </w:t>
      </w:r>
      <w:r>
        <w:rPr>
          <w:b/>
          <w:bCs/>
        </w:rPr>
        <w:t xml:space="preserve">~$230M one-time warranty true-down</w:t>
      </w:r>
      <w:r>
        <w:t xml:space="preserve"> </w:t>
      </w:r>
      <w:r>
        <w:t xml:space="preserve">and some tariff relief — i.e., low-quality beats.</w:t>
      </w:r>
    </w:p>
    <w:p>
      <w:pPr>
        <w:pStyle w:val="Compact"/>
        <w:numPr>
          <w:ilvl w:val="0"/>
          <w:numId w:val="1002"/>
        </w:numPr>
      </w:pPr>
      <w:r>
        <w:t xml:space="preserve">Management flagged ongoing</w:t>
      </w:r>
      <w:r>
        <w:t xml:space="preserve"> </w:t>
      </w:r>
      <w:r>
        <w:rPr>
          <w:b/>
          <w:bCs/>
        </w:rPr>
        <w:t xml:space="preserve">tariff and interest-rate subvention headwinds</w:t>
      </w:r>
      <w:r>
        <w:t xml:space="preserve"> </w:t>
      </w:r>
      <w:r>
        <w:t xml:space="preserve">(subvention costs are recognized upfront and hit auto margin as rates rise).</w:t>
      </w:r>
    </w:p>
    <w:p>
      <w:pPr>
        <w:pStyle w:val="Compact"/>
        <w:numPr>
          <w:ilvl w:val="0"/>
          <w:numId w:val="1002"/>
        </w:numPr>
      </w:pPr>
      <w:r>
        <w:t xml:space="preserve">Regulatory-credit revenue continues to structurally fade — watch how much of any profit is credit-driven.</w:t>
      </w:r>
    </w:p>
    <w:p>
      <w:pPr>
        <w:pStyle w:val="FirstParagraph"/>
      </w:pPr>
      <w:r>
        <w:t xml:space="preserve">Watch for whether the volume leverage from Europe + inventory drawdown offset ASP/mix pressure and tariffs.</w:t>
      </w:r>
    </w:p>
    <w:bookmarkEnd w:id="11"/>
    <w:bookmarkStart w:id="12" w:name="Xa5dd7ea193f6bff3e32ab6322876561c04d0c79"/>
    <w:p>
      <w:pPr>
        <w:pStyle w:val="Heading3"/>
      </w:pPr>
      <w:r>
        <w:t xml:space="preserve">2. The $25B+ capex ramp and free cash flow</w:t>
      </w:r>
    </w:p>
    <w:p>
      <w:pPr>
        <w:pStyle w:val="FirstParagraph"/>
      </w:pPr>
      <w:r>
        <w:t xml:space="preserve">This is the single biggest financial swing factor. Management guided **2026 capex to &gt;$25B — nearly triple the</w:t>
      </w:r>
      <w:r>
        <w:t xml:space="preserve"> </w:t>
      </w:r>
      <m:oMath>
        <m:r>
          <m:t>8.5</m:t>
        </m:r>
        <m:r>
          <m:t>B</m:t>
        </m:r>
        <m:r>
          <m:t>s</m:t>
        </m:r>
        <m:r>
          <m:t>p</m:t>
        </m:r>
        <m:r>
          <m:t>e</m:t>
        </m:r>
        <m:r>
          <m:t>n</m:t>
        </m:r>
        <m:r>
          <m:t>t</m:t>
        </m:r>
        <m:r>
          <m:t>i</m:t>
        </m:r>
        <m:r>
          <m:t>n</m:t>
        </m:r>
        <m:r>
          <m:t>2025</m:t>
        </m:r>
        <m:r>
          <m:rPr>
            <m:sty m:val="p"/>
          </m:rPr>
          <m:t>*</m:t>
        </m:r>
        <m:r>
          <m:rPr>
            <m:sty m:val="p"/>
          </m:rPr>
          <m:t>*</m:t>
        </m:r>
        <m:r>
          <m:rPr>
            <m:sty m:val="p"/>
          </m:rPr>
          <m:t>—</m:t>
        </m:r>
        <m:r>
          <m:t>t</m:t>
        </m:r>
        <m:r>
          <m:t>o</m:t>
        </m:r>
        <m:r>
          <m:t>f</m:t>
        </m:r>
        <m:r>
          <m:t>u</m:t>
        </m:r>
        <m:r>
          <m:t>n</m:t>
        </m:r>
        <m:r>
          <m:t>d</m:t>
        </m:r>
        <m:r>
          <m:t>s</m:t>
        </m:r>
        <m:r>
          <m:t>i</m:t>
        </m:r>
        <m:r>
          <m:t>x</m:t>
        </m:r>
        <m:r>
          <m:t>f</m:t>
        </m:r>
        <m:r>
          <m:t>a</m:t>
        </m:r>
        <m:r>
          <m:t>c</m:t>
        </m:r>
        <m:r>
          <m:t>t</m:t>
        </m:r>
        <m:r>
          <m:t>o</m:t>
        </m:r>
        <m:r>
          <m:t>r</m:t>
        </m:r>
        <m:r>
          <m:t>i</m:t>
        </m:r>
        <m:r>
          <m:t>e</m:t>
        </m:r>
        <m:r>
          <m:t>s</m:t>
        </m:r>
        <m:r>
          <m:rPr>
            <m:sty m:val="p"/>
          </m:rPr>
          <m:t>,</m:t>
        </m:r>
        <m:r>
          <m:t>A</m:t>
        </m:r>
        <m:r>
          <m:t>I</m:t>
        </m:r>
        <m:r>
          <m:t>i</m:t>
        </m:r>
        <m:r>
          <m:t>n</m:t>
        </m:r>
        <m:r>
          <m:t>f</m:t>
        </m:r>
        <m:r>
          <m:t>r</m:t>
        </m:r>
        <m:r>
          <m:t>a</m:t>
        </m:r>
        <m:r>
          <m:t>s</m:t>
        </m:r>
        <m:r>
          <m:t>t</m:t>
        </m:r>
        <m:r>
          <m:t>r</m:t>
        </m:r>
        <m:r>
          <m:t>u</m:t>
        </m:r>
        <m:r>
          <m:t>c</m:t>
        </m:r>
        <m:r>
          <m:t>t</m:t>
        </m:r>
        <m:r>
          <m:t>u</m:t>
        </m:r>
        <m:r>
          <m:t>r</m:t>
        </m:r>
        <m:r>
          <m:t>e</m:t>
        </m:r>
        <m:r>
          <m:rPr>
            <m:sty m:val="p"/>
          </m:rPr>
          <m:t>,</m:t>
        </m:r>
        <m:r>
          <m:t>C</m:t>
        </m:r>
        <m:r>
          <m:t>y</m:t>
        </m:r>
        <m:r>
          <m:t>b</m:t>
        </m:r>
        <m:r>
          <m:t>e</m:t>
        </m:r>
        <m:r>
          <m:t>r</m:t>
        </m:r>
        <m:r>
          <m:t>c</m:t>
        </m:r>
        <m:r>
          <m:t>a</m:t>
        </m:r>
        <m:r>
          <m:t>b</m:t>
        </m:r>
        <m:r>
          <m:rPr>
            <m:sty m:val="p"/>
          </m:rPr>
          <m:t>,</m:t>
        </m:r>
        <m:r>
          <m:t>O</m:t>
        </m:r>
        <m:r>
          <m:t>p</m:t>
        </m:r>
        <m:r>
          <m:t>t</m:t>
        </m:r>
        <m:r>
          <m:t>i</m:t>
        </m:r>
        <m:r>
          <m:t>m</m:t>
        </m:r>
        <m:r>
          <m:t>u</m:t>
        </m:r>
        <m:r>
          <m:t>s</m:t>
        </m:r>
        <m:r>
          <m:rPr>
            <m:sty m:val="p"/>
          </m:rPr>
          <m:t>,</m:t>
        </m:r>
        <m:r>
          <m:t>M</m:t>
        </m:r>
        <m:r>
          <m:t>e</m:t>
        </m:r>
        <m:r>
          <m:t>g</m:t>
        </m:r>
        <m:r>
          <m:t>a</m:t>
        </m:r>
        <m:r>
          <m:t>b</m:t>
        </m:r>
        <m:r>
          <m:t>l</m:t>
        </m:r>
        <m:r>
          <m:t>o</m:t>
        </m:r>
        <m:r>
          <m:t>c</m:t>
        </m:r>
        <m:r>
          <m:t>k</m:t>
        </m:r>
        <m:r>
          <m:t>a</m:t>
        </m:r>
        <m:r>
          <m:t>n</m:t>
        </m:r>
        <m:r>
          <m:t>d</m:t>
        </m:r>
        <m:r>
          <m:t>t</m:t>
        </m:r>
        <m:r>
          <m:t>h</m:t>
        </m:r>
        <m:r>
          <m:t>e</m:t>
        </m:r>
        <m:r>
          <m:t>A</m:t>
        </m:r>
        <m:r>
          <m:t>u</m:t>
        </m:r>
        <m:r>
          <m:t>s</m:t>
        </m:r>
        <m:r>
          <m:t>t</m:t>
        </m:r>
        <m:r>
          <m:t>i</m:t>
        </m:r>
        <m:r>
          <m:t>n</m:t>
        </m:r>
        <m:r>
          <m:t>r</m:t>
        </m:r>
        <m:r>
          <m:t>e</m:t>
        </m:r>
        <m:r>
          <m:t>s</m:t>
        </m:r>
        <m:r>
          <m:t>e</m:t>
        </m:r>
        <m:r>
          <m:t>a</m:t>
        </m:r>
        <m:r>
          <m:t>r</m:t>
        </m:r>
        <m:r>
          <m:t>c</m:t>
        </m:r>
        <m:r>
          <m:t>h</m:t>
        </m:r>
        <m:r>
          <m:t>f</m:t>
        </m:r>
        <m:r>
          <m:t>a</m:t>
        </m:r>
        <m:r>
          <m:t>b</m:t>
        </m:r>
        <m:r>
          <m:rPr>
            <m:sty m:val="p"/>
          </m:rPr>
          <m:t>.</m:t>
        </m:r>
        <m:r>
          <m:t>C</m:t>
        </m:r>
        <m:r>
          <m:t>F</m:t>
        </m:r>
        <m:r>
          <m:t>O</m:t>
        </m:r>
        <m:r>
          <m:t>T</m:t>
        </m:r>
        <m:r>
          <m:t>a</m:t>
        </m:r>
        <m:r>
          <m:t>n</m:t>
        </m:r>
        <m:r>
          <m:t>e</m:t>
        </m:r>
        <m:r>
          <m:t>j</m:t>
        </m:r>
        <m:r>
          <m:t>a</m:t>
        </m:r>
        <m:r>
          <m:t>e</m:t>
        </m:r>
        <m:r>
          <m:t>x</m:t>
        </m:r>
        <m:r>
          <m:t>p</m:t>
        </m:r>
        <m:r>
          <m:t>l</m:t>
        </m:r>
        <m:r>
          <m:t>i</m:t>
        </m:r>
        <m:r>
          <m:t>c</m:t>
        </m:r>
        <m:r>
          <m:t>i</m:t>
        </m:r>
        <m:r>
          <m:t>t</m:t>
        </m:r>
        <m:r>
          <m:t>l</m:t>
        </m:r>
        <m:r>
          <m:t>y</m:t>
        </m:r>
        <m:r>
          <m:t>w</m:t>
        </m:r>
        <m:r>
          <m:t>a</m:t>
        </m:r>
        <m:r>
          <m:t>r</m:t>
        </m:r>
        <m:r>
          <m:t>n</m:t>
        </m:r>
        <m:r>
          <m:t>e</m:t>
        </m:r>
        <m:r>
          <m:t>d</m:t>
        </m:r>
        <m:r>
          <m:t>t</m:t>
        </m:r>
        <m:r>
          <m:t>h</m:t>
        </m:r>
        <m:r>
          <m:t>i</m:t>
        </m:r>
        <m:r>
          <m:t>s</m:t>
        </m:r>
        <m:r>
          <m:t>d</m:t>
        </m:r>
        <m:r>
          <m:t>r</m:t>
        </m:r>
        <m:r>
          <m:t>i</m:t>
        </m:r>
        <m:r>
          <m:t>v</m:t>
        </m:r>
        <m:r>
          <m:t>e</m:t>
        </m:r>
        <m:r>
          <m:t>s</m:t>
        </m:r>
        <m:r>
          <m:rPr>
            <m:sty m:val="p"/>
          </m:rPr>
          <m:t>*</m:t>
        </m:r>
        <m:r>
          <m:rPr>
            <m:sty m:val="p"/>
          </m:rPr>
          <m:t>*</m:t>
        </m:r>
        <m:r>
          <m:t>n</m:t>
        </m:r>
        <m:r>
          <m:t>e</m:t>
        </m:r>
        <m:r>
          <m:t>g</m:t>
        </m:r>
        <m:r>
          <m:t>a</m:t>
        </m:r>
        <m:r>
          <m:t>t</m:t>
        </m:r>
        <m:r>
          <m:t>i</m:t>
        </m:r>
        <m:r>
          <m:t>v</m:t>
        </m:r>
        <m:r>
          <m:t>e</m:t>
        </m:r>
        <m:r>
          <m:t>f</m:t>
        </m:r>
        <m:r>
          <m:t>r</m:t>
        </m:r>
        <m:r>
          <m:t>e</m:t>
        </m:r>
        <m:r>
          <m:t>e</m:t>
        </m:r>
        <m:r>
          <m:t>c</m:t>
        </m:r>
        <m:r>
          <m:t>a</m:t>
        </m:r>
        <m:r>
          <m:t>s</m:t>
        </m:r>
        <m:r>
          <m:t>h</m:t>
        </m:r>
        <m:r>
          <m:t>f</m:t>
        </m:r>
        <m:r>
          <m:t>l</m:t>
        </m:r>
        <m:r>
          <m:t>o</m:t>
        </m:r>
        <m:r>
          <m:t>w</m:t>
        </m:r>
        <m:r>
          <m:t>f</m:t>
        </m:r>
        <m:r>
          <m:t>o</m:t>
        </m:r>
        <m:r>
          <m:t>r</m:t>
        </m:r>
        <m:r>
          <m:t>t</m:t>
        </m:r>
        <m:r>
          <m:t>h</m:t>
        </m:r>
        <m:r>
          <m:t>e</m:t>
        </m:r>
        <m:r>
          <m:t>r</m:t>
        </m:r>
        <m:r>
          <m:t>e</m:t>
        </m:r>
        <m:r>
          <m:t>s</m:t>
        </m:r>
        <m:r>
          <m:t>t</m:t>
        </m:r>
        <m:r>
          <m:t>o</m:t>
        </m:r>
        <m:r>
          <m:t>f</m:t>
        </m:r>
        <m:r>
          <m:t>t</m:t>
        </m:r>
        <m:r>
          <m:t>h</m:t>
        </m:r>
        <m:r>
          <m:t>e</m:t>
        </m:r>
        <m:r>
          <m:t>y</m:t>
        </m:r>
        <m:r>
          <m:t>e</m:t>
        </m:r>
        <m:r>
          <m:t>a</m:t>
        </m:r>
        <m:r>
          <m:t>r</m:t>
        </m:r>
        <m:r>
          <m:rPr>
            <m:sty m:val="p"/>
          </m:rPr>
          <m:t>*</m:t>
        </m:r>
        <m:r>
          <m:rPr>
            <m:sty m:val="p"/>
          </m:rPr>
          <m:t>*</m:t>
        </m:r>
        <m:r>
          <m:rPr>
            <m:sty m:val="p"/>
          </m:rPr>
          <m:t>(</m:t>
        </m:r>
        <m:r>
          <m:t>Q</m:t>
        </m:r>
        <m:r>
          <m:t>1</m:t>
        </m:r>
        <m:r>
          <m:t>F</m:t>
        </m:r>
        <m:r>
          <m:t>C</m:t>
        </m:r>
        <m:r>
          <m:t>F</m:t>
        </m:r>
        <m:r>
          <m:t>w</m:t>
        </m:r>
        <m:r>
          <m:t>a</m:t>
        </m:r>
        <m:r>
          <m:t>s</m:t>
        </m:r>
        <m:r>
          <m:t>o</m:t>
        </m:r>
        <m:r>
          <m:t>n</m:t>
        </m:r>
        <m:r>
          <m:t>l</m:t>
        </m:r>
        <m:r>
          <m:t>y</m:t>
        </m:r>
        <m:r>
          <m:t> </m:t>
        </m:r>
      </m:oMath>
      <w:r>
        <w:t xml:space="preserve">1.4B). Investors will scrutinize the cadence, capital efficiency, and how it's funded.</w:t>
      </w:r>
    </w:p>
    <w:bookmarkEnd w:id="12"/>
    <w:bookmarkStart w:id="13" w:name="Xa22f33ce417884ce6daa5cecf2e2c60a2c42ebc"/>
    <w:p>
      <w:pPr>
        <w:pStyle w:val="Heading3"/>
      </w:pPr>
      <w:r>
        <w:t xml:space="preserve">3. Robotaxi — the crux of the bull case</w:t>
      </w:r>
    </w:p>
    <w:p>
      <w:pPr>
        <w:pStyle w:val="Compact"/>
        <w:numPr>
          <w:ilvl w:val="0"/>
          <w:numId w:val="1003"/>
        </w:numPr>
      </w:pPr>
      <w:r>
        <w:t xml:space="preserve">Commercial service is live in</w:t>
      </w:r>
      <w:r>
        <w:t xml:space="preserve"> </w:t>
      </w:r>
      <w:r>
        <w:rPr>
          <w:b/>
          <w:bCs/>
        </w:rPr>
        <w:t xml:space="preserve">Austin, Dallas and Houston</w:t>
      </w:r>
      <w:r>
        <w:t xml:space="preserve">, running on</w:t>
      </w:r>
      <w:r>
        <w:t xml:space="preserve"> </w:t>
      </w:r>
      <w:r>
        <w:rPr>
          <w:b/>
          <w:bCs/>
        </w:rPr>
        <w:t xml:space="preserve">FSD v14.3 variants</w:t>
      </w:r>
      <w:r>
        <w:t xml:space="preserve">, with management touting</w:t>
      </w:r>
      <w:r>
        <w:t xml:space="preserve"> </w:t>
      </w:r>
      <w:r>
        <w:rPr>
          <w:b/>
          <w:bCs/>
        </w:rPr>
        <w:t xml:space="preserve">zero incidents/injuries</w:t>
      </w:r>
      <w:r>
        <w:t xml:space="preserve"> </w:t>
      </w:r>
      <w:r>
        <w:t xml:space="preserve">to date.</w:t>
      </w:r>
    </w:p>
    <w:p>
      <w:pPr>
        <w:pStyle w:val="Compact"/>
        <w:numPr>
          <w:ilvl w:val="0"/>
          <w:numId w:val="1003"/>
        </w:numPr>
      </w:pPr>
      <w:r>
        <w:t xml:space="preserve">Musk targeted</w:t>
      </w:r>
      <w:r>
        <w:t xml:space="preserve"> </w:t>
      </w:r>
      <w:r>
        <w:rPr>
          <w:b/>
          <w:bCs/>
        </w:rPr>
        <w:t xml:space="preserve">~a dozen states by year-end 2026</w:t>
      </w:r>
      <w:r>
        <w:t xml:space="preserve"> </w:t>
      </w:r>
      <w:r>
        <w:t xml:space="preserve">but conceded Robotaxi revenue</w:t>
      </w:r>
      <w:r>
        <w:t xml:space="preserve"> </w:t>
      </w:r>
      <w:r>
        <w:rPr>
          <w:b/>
          <w:bCs/>
        </w:rPr>
        <w:t xml:space="preserve">won't be material this year</w:t>
      </w:r>
      <w:r>
        <w:t xml:space="preserve"> </w:t>
      </w:r>
      <w:r>
        <w:t xml:space="preserve">— material impact is a</w:t>
      </w:r>
      <w:r>
        <w:t xml:space="preserve"> </w:t>
      </w:r>
      <w:r>
        <w:rPr>
          <w:i/>
          <w:iCs/>
        </w:rPr>
        <w:t xml:space="preserve">2027</w:t>
      </w:r>
      <w:r>
        <w:t xml:space="preserve"> </w:t>
      </w:r>
      <w:r>
        <w:t xml:space="preserve">story.</w:t>
      </w:r>
    </w:p>
    <w:p>
      <w:pPr>
        <w:pStyle w:val="Compact"/>
        <w:numPr>
          <w:ilvl w:val="0"/>
          <w:numId w:val="1003"/>
        </w:numPr>
      </w:pPr>
      <w:r>
        <w:t xml:space="preserve">Key nuance from Q1: the bottleneck is now less about safety and more about</w:t>
      </w:r>
      <w:r>
        <w:t xml:space="preserve"> </w:t>
      </w:r>
      <w:r>
        <w:rPr>
          <w:b/>
          <w:bCs/>
        </w:rPr>
        <w:t xml:space="preserve">"convenience" failures</w:t>
      </w:r>
      <w:r>
        <w:t xml:space="preserve"> </w:t>
      </w:r>
      <w:r>
        <w:t xml:space="preserve">(cars getting stuck/paranoid, infinite-loop routing). Look for miles driven, geographic expansion pace, and any hard economics.</w:t>
      </w:r>
    </w:p>
    <w:p>
      <w:pPr>
        <w:pStyle w:val="Compact"/>
        <w:numPr>
          <w:ilvl w:val="0"/>
          <w:numId w:val="1003"/>
        </w:numPr>
      </w:pPr>
      <w:r>
        <w:rPr>
          <w:b/>
          <w:bCs/>
        </w:rPr>
        <w:t xml:space="preserve">Cybercab</w:t>
      </w:r>
      <w:r>
        <w:t xml:space="preserve"> </w:t>
      </w:r>
      <w:r>
        <w:t xml:space="preserve">(no pedals/steering wheel) began production and is now testing in Austin; the ramp is a slow "S-curve" back-half story.</w:t>
      </w:r>
    </w:p>
    <w:bookmarkEnd w:id="13"/>
    <w:bookmarkStart w:id="14" w:name="Xd68e7df4cb4dd61fc45d2cdf9463355f833612c"/>
    <w:p>
      <w:pPr>
        <w:pStyle w:val="Heading3"/>
      </w:pPr>
      <w:r>
        <w:t xml:space="preserve">4. Optimus — the "biggest product ever" claim needs proof</w:t>
      </w:r>
    </w:p>
    <w:p>
      <w:pPr>
        <w:pStyle w:val="FirstParagraph"/>
      </w:pPr>
      <w:r>
        <w:t xml:space="preserve">Musk again called Optimus potentially "the biggest product ever." But specifics have slipped:</w:t>
      </w:r>
    </w:p>
    <w:p>
      <w:pPr>
        <w:pStyle w:val="Compact"/>
        <w:numPr>
          <w:ilvl w:val="0"/>
          <w:numId w:val="1004"/>
        </w:numPr>
      </w:pPr>
      <w:r>
        <w:t xml:space="preserve">Fremont production start pushed to the</w:t>
      </w:r>
      <w:r>
        <w:t xml:space="preserve"> </w:t>
      </w:r>
      <w:r>
        <w:rPr>
          <w:b/>
          <w:bCs/>
        </w:rPr>
        <w:t xml:space="preserve">late July/August</w:t>
      </w:r>
      <w:r>
        <w:t xml:space="preserve"> </w:t>
      </w:r>
      <w:r>
        <w:t xml:space="preserve">window; a second Texas factory targeted for</w:t>
      </w:r>
      <w:r>
        <w:t xml:space="preserve"> </w:t>
      </w:r>
      <w:r>
        <w:rPr>
          <w:b/>
          <w:bCs/>
        </w:rPr>
        <w:t xml:space="preserve">summer 2027</w:t>
      </w:r>
      <w:r>
        <w:t xml:space="preserve">.</w:t>
      </w:r>
    </w:p>
    <w:p>
      <w:pPr>
        <w:pStyle w:val="Compact"/>
        <w:numPr>
          <w:ilvl w:val="0"/>
          <w:numId w:val="1004"/>
        </w:numPr>
      </w:pPr>
      <w:r>
        <w:t xml:space="preserve">Musk</w:t>
      </w:r>
      <w:r>
        <w:t xml:space="preserve"> </w:t>
      </w:r>
      <w:r>
        <w:rPr>
          <w:b/>
          <w:bCs/>
        </w:rPr>
        <w:t xml:space="preserve">declined to give a production rate</w:t>
      </w:r>
      <w:r>
        <w:t xml:space="preserve"> </w:t>
      </w:r>
      <w:r>
        <w:t xml:space="preserve">and deferred the</w:t>
      </w:r>
      <w:r>
        <w:t xml:space="preserve"> </w:t>
      </w:r>
      <w:r>
        <w:rPr>
          <w:b/>
          <w:bCs/>
        </w:rPr>
        <w:t xml:space="preserve">V3 reveal</w:t>
      </w:r>
      <w:r>
        <w:t xml:space="preserve"> </w:t>
      </w:r>
      <w:r>
        <w:t xml:space="preserve">closer to production (citing competitors copying designs). Watch for whether a V3 demo finally arrives and any concrete unit targets — investors have been waiting several quarters.</w:t>
      </w:r>
    </w:p>
    <w:bookmarkEnd w:id="14"/>
    <w:bookmarkStart w:id="15" w:name="Xcc1131ae2fba15a0b55771ffb0a10001c4778cb"/>
    <w:p>
      <w:pPr>
        <w:pStyle w:val="Heading3"/>
      </w:pPr>
      <w:r>
        <w:t xml:space="preserve">5. FSD adoption + the chip/vertical-integration story</w:t>
      </w:r>
    </w:p>
    <w:p>
      <w:pPr>
        <w:pStyle w:val="Compact"/>
        <w:numPr>
          <w:ilvl w:val="0"/>
          <w:numId w:val="1005"/>
        </w:numPr>
      </w:pPr>
      <w:r>
        <w:t xml:space="preserve">FSD reached</w:t>
      </w:r>
      <w:r>
        <w:t xml:space="preserve"> </w:t>
      </w:r>
      <w:r>
        <w:rPr>
          <w:b/>
          <w:bCs/>
        </w:rPr>
        <w:t xml:space="preserve">~1.3M paid customers</w:t>
      </w:r>
      <w:r>
        <w:t xml:space="preserve"> </w:t>
      </w:r>
      <w:r>
        <w:t xml:space="preserve">globally in Q1 (growth led by subscriptions, with falling churn). EU approval was expanding country-by-country (Netherlands approved; broader EU pending) and China approval targeted for Q3 — both potential demand catalysts.</w:t>
      </w:r>
    </w:p>
    <w:p>
      <w:pPr>
        <w:pStyle w:val="Compact"/>
        <w:numPr>
          <w:ilvl w:val="0"/>
          <w:numId w:val="1005"/>
        </w:numPr>
      </w:pPr>
      <w:r>
        <w:t xml:space="preserve">Chips:</w:t>
      </w:r>
      <w:r>
        <w:t xml:space="preserve"> </w:t>
      </w:r>
      <w:r>
        <w:rPr>
          <w:b/>
          <w:bCs/>
        </w:rPr>
        <w:t xml:space="preserve">AI5 taped out early</w:t>
      </w:r>
      <w:r>
        <w:t xml:space="preserve"> </w:t>
      </w:r>
      <w:r>
        <w:t xml:space="preserve">(destined for Optimus + data center, not near-term vehicles), and Tesla is building a</w:t>
      </w:r>
      <w:r>
        <w:t xml:space="preserve"> </w:t>
      </w:r>
      <w:r>
        <w:rPr>
          <w:b/>
          <w:bCs/>
        </w:rPr>
        <w:t xml:space="preserve">~$3B research fab at Giga Texas</w:t>
      </w:r>
      <w:r>
        <w:t xml:space="preserve"> </w:t>
      </w:r>
      <w:r>
        <w:t xml:space="preserve">using</w:t>
      </w:r>
      <w:r>
        <w:t xml:space="preserve"> </w:t>
      </w:r>
      <w:r>
        <w:rPr>
          <w:b/>
          <w:bCs/>
        </w:rPr>
        <w:t xml:space="preserve">Intel's 14A</w:t>
      </w:r>
      <w:r>
        <w:t xml:space="preserve"> </w:t>
      </w:r>
      <w:r>
        <w:t xml:space="preserve">process, with</w:t>
      </w:r>
      <w:r>
        <w:t xml:space="preserve"> </w:t>
      </w:r>
      <w:r>
        <w:rPr>
          <w:b/>
          <w:bCs/>
        </w:rPr>
        <w:t xml:space="preserve">SpaceX</w:t>
      </w:r>
      <w:r>
        <w:t xml:space="preserve"> </w:t>
      </w:r>
      <w:r>
        <w:t xml:space="preserve">taking the larger "Terafab" phase. Expect questions on the economics and intercompany-conflict governance.</w:t>
      </w:r>
    </w:p>
    <w:p>
      <w:pPr>
        <w:pStyle w:val="Compact"/>
        <w:numPr>
          <w:ilvl w:val="0"/>
          <w:numId w:val="1005"/>
        </w:numPr>
      </w:pPr>
      <w:r>
        <w:t xml:space="preserve">Battery pack capacity remains cited as the</w:t>
      </w:r>
      <w:r>
        <w:t xml:space="preserve"> </w:t>
      </w:r>
      <w:r>
        <w:rPr>
          <w:b/>
          <w:bCs/>
        </w:rPr>
        <w:t xml:space="preserve">top volume limiter</w:t>
      </w:r>
      <w:r>
        <w:t xml:space="preserve"> </w:t>
      </w:r>
      <w:r>
        <w:t xml:space="preserve">— watch for updates on in-house 4680/LFP ramps.</w:t>
      </w:r>
    </w:p>
    <w:p>
      <w:r>
        <w:pict>
          <v:rect style="width:0;height:1.5pt" o:hralign="center" o:hrstd="t" o:hr="t"/>
        </w:pict>
      </w:r>
    </w:p>
    <w:bookmarkEnd w:id="15"/>
    <w:bookmarkEnd w:id="16"/>
    <w:bookmarkStart w:id="17" w:name="the-wildcard-the-spacex-overhang"/>
    <w:p>
      <w:pPr>
        <w:pStyle w:val="Heading2"/>
      </w:pPr>
      <w:r>
        <w:t xml:space="preserve">The wildcard: the SpaceX overhang</w:t>
      </w:r>
    </w:p>
    <w:p>
      <w:pPr>
        <w:pStyle w:val="FirstParagraph"/>
      </w:pPr>
      <w:r>
        <w:t xml:space="preserve">Uniquely this quarter, TSLA trades in the shadow of</w:t>
      </w:r>
      <w:r>
        <w:t xml:space="preserve"> </w:t>
      </w:r>
      <w:r>
        <w:rPr>
          <w:b/>
          <w:bCs/>
        </w:rPr>
        <w:t xml:space="preserve">SpaceX's recent IPO</w:t>
      </w:r>
      <w:r>
        <w:t xml:space="preserve">. SpaceX reports its first results Aug. 4, and its valuation (~</w:t>
      </w:r>
      <m:oMath>
        <m:r>
          <m:t>1.7</m:t>
        </m:r>
        <m:r>
          <m:t>T</m:t>
        </m:r>
        <m:r>
          <m:rPr>
            <m:sty m:val="p"/>
          </m:rPr>
          <m:t>)</m:t>
        </m:r>
        <m:r>
          <m:t>n</m:t>
        </m:r>
        <m:r>
          <m:t>o</m:t>
        </m:r>
        <m:r>
          <m:t>w</m:t>
        </m:r>
        <m:r>
          <m:t>s</m:t>
        </m:r>
        <m:r>
          <m:t>i</m:t>
        </m:r>
        <m:r>
          <m:t>t</m:t>
        </m:r>
        <m:r>
          <m:t>s</m:t>
        </m:r>
        <m:r>
          <m:t>j</m:t>
        </m:r>
        <m:r>
          <m:t>u</m:t>
        </m:r>
        <m:r>
          <m:t>s</m:t>
        </m:r>
        <m:r>
          <m:t>t</m:t>
        </m:r>
        <m:r>
          <m:t>a</m:t>
        </m:r>
        <m:r>
          <m:t>b</m:t>
        </m:r>
        <m:r>
          <m:t>o</m:t>
        </m:r>
        <m:r>
          <m:t>v</m:t>
        </m:r>
        <m:r>
          <m:t>e</m:t>
        </m:r>
        <m:r>
          <m:t>T</m:t>
        </m:r>
        <m:r>
          <m:t>e</m:t>
        </m:r>
        <m:r>
          <m:t>s</m:t>
        </m:r>
        <m:r>
          <m:t>l</m:t>
        </m:r>
        <m:sSup>
          <m:e>
            <m:r>
              <m:t>a</m:t>
            </m:r>
          </m:e>
          <m:sup>
            <m:r>
              <m:rPr>
                <m:sty m:val="p"/>
              </m:rPr>
              <m:t>′</m:t>
            </m:r>
          </m:sup>
        </m:sSup>
        <m:r>
          <m:t>s</m:t>
        </m:r>
        <m:r>
          <m:t> </m:t>
        </m:r>
      </m:oMath>
      <w:r>
        <w:t xml:space="preserve">1.4T. Traders note "the whole SpaceX thing is weighing on" TSLA, with the market debating</w:t>
      </w:r>
      <w:r>
        <w:t xml:space="preserve"> </w:t>
      </w:r>
      <w:r>
        <w:rPr>
          <w:b/>
          <w:bCs/>
        </w:rPr>
        <w:t xml:space="preserve">which to own and whether the two might merge</w:t>
      </w:r>
      <w:r>
        <w:t xml:space="preserve"> </w:t>
      </w:r>
      <w:r>
        <w:t xml:space="preserve">— plus deepening entanglements (Grok/xAI for Optimus, SpaceX-led Terafab). Any commentary Musk offers on capital allocation between his companies could matter as much as the numbers.</w:t>
      </w:r>
    </w:p>
    <w:p>
      <w:r>
        <w:pict>
          <v:rect style="width:0;height:1.5pt" o:hralign="center" o:hrstd="t" o:hr="t"/>
        </w:pict>
      </w:r>
    </w:p>
    <w:bookmarkEnd w:id="17"/>
    <w:bookmarkStart w:id="18" w:name="price--positioning"/>
    <w:p>
      <w:pPr>
        <w:pStyle w:val="Heading2"/>
      </w:pPr>
      <w:r>
        <w:t xml:space="preserve">Price &amp; positioning</w:t>
      </w:r>
    </w:p>
    <w:p>
      <w:pPr>
        <w:pStyle w:val="Compact"/>
        <w:numPr>
          <w:ilvl w:val="0"/>
          <w:numId w:val="1006"/>
        </w:numPr>
      </w:pPr>
      <w:r>
        <w:t xml:space="preserve">TSLA has been</w:t>
      </w:r>
      <w:r>
        <w:t xml:space="preserve"> </w:t>
      </w:r>
      <w:r>
        <w:rPr>
          <w:b/>
          <w:bCs/>
        </w:rPr>
        <w:t xml:space="preserve">rangebound in 2026</w:t>
      </w:r>
      <w:r>
        <w:t xml:space="preserve"> </w:t>
      </w:r>
      <w:r>
        <w:t xml:space="preserve">(roughly</w:t>
      </w:r>
      <w:r>
        <w:t xml:space="preserve"> </w:t>
      </w:r>
      <m:oMath>
        <m:r>
          <m:t>345</m:t>
        </m:r>
        <m:r>
          <m:rPr>
            <m:sty m:val="p"/>
          </m:rPr>
          <m:t>–</m:t>
        </m:r>
      </m:oMath>
      <w:r>
        <w:t xml:space="preserve">450), and is</w:t>
      </w:r>
      <w:r>
        <w:t xml:space="preserve"> </w:t>
      </w:r>
      <w:r>
        <w:rPr>
          <w:b/>
          <w:bCs/>
        </w:rPr>
        <w:t xml:space="preserve">down ~13% YTD</w:t>
      </w:r>
      <w:r>
        <w:t xml:space="preserve"> </w:t>
      </w:r>
      <w:r>
        <w:t xml:space="preserve">(~</w:t>
      </w:r>
      <m:oMath>
        <m:r>
          <m:t>438</m:t>
        </m:r>
        <m:r>
          <m:rPr>
            <m:sty m:val="p"/>
          </m:rPr>
          <m:t>→</m:t>
        </m:r>
        <m:r>
          <m:t> </m:t>
        </m:r>
      </m:oMath>
      <w:r>
        <w:t xml:space="preserve">379), having faded from ~$425 in early July into the print.</w:t>
      </w:r>
    </w:p>
    <w:p>
      <w:pPr>
        <w:pStyle w:val="Compact"/>
        <w:numPr>
          <w:ilvl w:val="0"/>
          <w:numId w:val="1006"/>
        </w:numPr>
      </w:pPr>
      <w:r>
        <w:t xml:space="preserve">Options imply a</w:t>
      </w:r>
      <w:r>
        <w:t xml:space="preserve"> </w:t>
      </w:r>
      <w:r>
        <w:rPr>
          <w:b/>
          <w:bCs/>
        </w:rPr>
        <w:t xml:space="preserve">~5.8% move</w:t>
      </w:r>
      <w:r>
        <w:t xml:space="preserve"> </w:t>
      </w:r>
      <w:r>
        <w:t xml:space="preserve">— the largest implied move since October 2025 — yet the stock's</w:t>
      </w:r>
      <w:r>
        <w:t xml:space="preserve"> </w:t>
      </w:r>
      <w:r>
        <w:rPr>
          <w:b/>
          <w:bCs/>
        </w:rPr>
        <w:t xml:space="preserve">median realized earnings-day move over the past four quarters was just ~3.5%</w:t>
      </w:r>
      <w:r>
        <w:t xml:space="preserve">, suggesting the options market may be over-pricing the reaction. Recent flow leaned</w:t>
      </w:r>
      <w:r>
        <w:t xml:space="preserve"> </w:t>
      </w:r>
      <w:r>
        <w:rPr>
          <w:b/>
          <w:bCs/>
        </w:rPr>
        <w:t xml:space="preserve">bullish</w:t>
      </w:r>
      <w:r>
        <w:t xml:space="preserve"> </w:t>
      </w:r>
      <w:r>
        <w:t xml:space="preserve">(calls ~2:1 over puts).</w:t>
      </w:r>
    </w:p>
    <w:p>
      <w:pPr>
        <w:pStyle w:val="Compact"/>
        <w:numPr>
          <w:ilvl w:val="0"/>
          <w:numId w:val="1006"/>
        </w:numPr>
      </w:pPr>
      <w:r>
        <w:t xml:space="preserve">The stock sits near technical support after a soft two-week stretch (also weighed by an NTSB-confirmed fatal FSD-related crash headline on 7/15).</w:t>
      </w:r>
    </w:p>
    <w:p>
      <w:r>
        <w:pict>
          <v:rect style="width:0;height:1.5pt" o:hralign="center" o:hrstd="t" o:hr="t"/>
        </w:pict>
      </w:r>
    </w:p>
    <w:bookmarkEnd w:id="18"/>
    <w:bookmarkStart w:id="19" w:name="bottom-line--what-to-listen-for"/>
    <w:p>
      <w:pPr>
        <w:pStyle w:val="Heading2"/>
      </w:pPr>
      <w:r>
        <w:t xml:space="preserve">Bottom line — what to listen for</w:t>
      </w:r>
    </w:p>
    <w:p>
      <w:pPr>
        <w:pStyle w:val="Compact"/>
        <w:numPr>
          <w:ilvl w:val="0"/>
          <w:numId w:val="1007"/>
        </w:numPr>
      </w:pPr>
      <w:r>
        <w:rPr>
          <w:b/>
          <w:bCs/>
        </w:rPr>
        <w:t xml:space="preserve">Auto gross margin ex-credits</w:t>
      </w:r>
      <w:r>
        <w:t xml:space="preserve"> </w:t>
      </w:r>
      <w:r>
        <w:t xml:space="preserve">and how "clean" it is (one-offs vs. real volume leverage).</w:t>
      </w:r>
    </w:p>
    <w:p>
      <w:pPr>
        <w:pStyle w:val="Compact"/>
        <w:numPr>
          <w:ilvl w:val="0"/>
          <w:numId w:val="1007"/>
        </w:numPr>
      </w:pPr>
      <w:r>
        <w:rPr>
          <w:b/>
          <w:bCs/>
        </w:rPr>
        <w:t xml:space="preserve">Any 2026 delivery/volume framing</w:t>
      </w:r>
      <w:r>
        <w:t xml:space="preserve"> </w:t>
      </w:r>
      <w:r>
        <w:t xml:space="preserve">— does Q2 strength justify a return to annual growth?</w:t>
      </w:r>
    </w:p>
    <w:p>
      <w:pPr>
        <w:pStyle w:val="Compact"/>
        <w:numPr>
          <w:ilvl w:val="0"/>
          <w:numId w:val="1007"/>
        </w:numPr>
      </w:pPr>
      <w:r>
        <w:rPr>
          <w:b/>
          <w:bCs/>
        </w:rPr>
        <w:t xml:space="preserve">Capex/FCF trajectory</w:t>
      </w:r>
      <w:r>
        <w:t xml:space="preserve"> </w:t>
      </w:r>
      <w:r>
        <w:t xml:space="preserve">and reassurance on capital efficiency.</w:t>
      </w:r>
    </w:p>
    <w:p>
      <w:pPr>
        <w:pStyle w:val="Compact"/>
        <w:numPr>
          <w:ilvl w:val="0"/>
          <w:numId w:val="1007"/>
        </w:numPr>
      </w:pPr>
      <w:r>
        <w:rPr>
          <w:b/>
          <w:bCs/>
        </w:rPr>
        <w:t xml:space="preserve">Robotaxi expansion pace + safety data</w:t>
      </w:r>
      <w:r>
        <w:t xml:space="preserve">, and Cybercab ramp.</w:t>
      </w:r>
    </w:p>
    <w:p>
      <w:pPr>
        <w:pStyle w:val="Compact"/>
        <w:numPr>
          <w:ilvl w:val="0"/>
          <w:numId w:val="1007"/>
        </w:numPr>
      </w:pPr>
      <w:r>
        <w:rPr>
          <w:b/>
          <w:bCs/>
        </w:rPr>
        <w:t xml:space="preserve">Optimus concrete milestones</w:t>
      </w:r>
      <w:r>
        <w:t xml:space="preserve"> </w:t>
      </w:r>
      <w:r>
        <w:t xml:space="preserve">(V3 reveal, production start, unit targets).</w:t>
      </w:r>
    </w:p>
    <w:p>
      <w:pPr>
        <w:pStyle w:val="Compact"/>
        <w:numPr>
          <w:ilvl w:val="0"/>
          <w:numId w:val="1007"/>
        </w:numPr>
      </w:pPr>
      <w:r>
        <w:rPr>
          <w:b/>
          <w:bCs/>
        </w:rPr>
        <w:t xml:space="preserve">FSD EU/China approvals</w:t>
      </w:r>
      <w:r>
        <w:t xml:space="preserve"> </w:t>
      </w:r>
      <w:r>
        <w:t xml:space="preserve">and the</w:t>
      </w:r>
      <w:r>
        <w:t xml:space="preserve"> </w:t>
      </w:r>
      <w:r>
        <w:rPr>
          <w:b/>
          <w:bCs/>
        </w:rPr>
        <w:t xml:space="preserve">Terafab/AI5</w:t>
      </w:r>
      <w:r>
        <w:t xml:space="preserve"> </w:t>
      </w:r>
      <w:r>
        <w:t xml:space="preserve">economics.</w:t>
      </w:r>
    </w:p>
    <w:p>
      <w:pPr>
        <w:pStyle w:val="Compact"/>
        <w:numPr>
          <w:ilvl w:val="0"/>
          <w:numId w:val="1007"/>
        </w:numPr>
      </w:pPr>
      <w:r>
        <w:rPr>
          <w:b/>
          <w:bCs/>
        </w:rPr>
        <w:t xml:space="preserve">Musk's tone on SpaceX</w:t>
      </w:r>
      <w:r>
        <w:t xml:space="preserve"> </w:t>
      </w:r>
      <w:r>
        <w:t xml:space="preserve">and capital allocation across his empire.</w:t>
      </w:r>
    </w:p>
    <w:p>
      <w:pPr>
        <w:pStyle w:val="FirstParagraph"/>
      </w:pPr>
      <w:r>
        <w:t xml:space="preserve">Given the pre-run in expectations and the "tech/AI company, not a car company" reframing,</w:t>
      </w:r>
      <w:r>
        <w:t xml:space="preserve"> </w:t>
      </w:r>
      <w:r>
        <w:rPr>
          <w:b/>
          <w:bCs/>
        </w:rPr>
        <w:t xml:space="preserve">the reaction likely hinges on the roadmap narrative and margin quality — not the already-known delivery beat.</w:t>
      </w:r>
    </w:p>
    <w:p>
      <w:r>
        <w:pict>
          <v:rect style="width:0;height:1.5pt" o:hralign="center" o:hrstd="t" o:hr="t"/>
        </w:pict>
      </w:r>
    </w:p>
    <w:p>
      <w:pPr>
        <w:pStyle w:val="FirstParagraph"/>
      </w:pPr>
      <w:r>
        <w:rPr>
          <w:i/>
          <w:iCs/>
        </w:rPr>
        <w:t xml:space="preserve">Preview based on Tesla's Q1 2026 earnings call, Q2 2026 delivery release/news, FY2025 delivery data, and market/options coverage through July 21, 2026.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2026-07-22T00:47:58Z</dcterms:created>
  <dcterms:modified xsi:type="dcterms:W3CDTF">2026-07-22T00:47:58Z</dcterms:modified>
</cp:coreProperties>
</file>

<file path=docProps/custom.xml><?xml version="1.0" encoding="utf-8"?>
<Properties xmlns="http://schemas.openxmlformats.org/officeDocument/2006/custom-properties" xmlns:vt="http://schemas.openxmlformats.org/officeDocument/2006/docPropsVTypes"/>
</file>