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la-earnings-predictions--2026-07-22"/>
    <w:p>
      <w:pPr>
        <w:pStyle w:val="Heading1"/>
      </w:pPr>
      <w:r>
        <w:t xml:space="preserve">TSLA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~$28.4B vs. cons $27.6B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Automotive Gross Margin ex-credits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~18.0% vs. cons ~19.2%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~$0.55 vs. cons $0.55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~$25B+ vs. cons $25B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Robotaxi/FSD monetization timeline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'material in 2027, not super material in 2026' vs. cons hoping for acceleration to H2 2026 (FY2026-27)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delivery/production 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implied FY2026 delivery growth low-teens % vs. cons prior flat-to-up-mid-single-digit 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path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reiterated negative FCF through 2026 vs. cons expectation of near breakeven by Q4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-1.4% (FADE)</w:t>
            </w:r>
          </w:p>
        </w:tc>
        <w:tc>
          <w:tcPr/>
          <w:p>
            <w:pPr>
              <w:pStyle w:val="Compact"/>
            </w:pPr>
            <w:r>
              <w:t xml:space="preserve">Auto margin erosion from discount/financing-driven volume prompts sell-side to trim FY26-27 EPS (out-period math offsetting the revenue/delivery beat), producing an initial negative reaction; but given TSLA's pattern this cycle (initial delivery-beat selloff reversing into a Musk-complex/AI-narrative rally), speculative buying tied to Optimus/Robotaxi/SpaceX headlines partially reclaims losses over the week, capping full follow-through and leaving a modest net negative residual rather than a deeper cumulative decline.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2026-07-22T00:50:03Z</dcterms:created>
  <dcterms:modified xsi:type="dcterms:W3CDTF">2026-07-22T00:50:03Z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