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tesla-tsla-q2-2026-earnings-preview"/>
    <w:p>
      <w:pPr>
        <w:pStyle w:val="Heading1"/>
      </w:pPr>
      <w:r>
        <w:t xml:space="preserve">Tesla (TSLA) Q2 2026 Earnings Preview</w:t>
      </w:r>
    </w:p>
    <w:p>
      <w:pPr>
        <w:pStyle w:val="FirstParagraph"/>
      </w:pPr>
      <w:r>
        <w:rPr>
          <w:b/>
          <w:bCs/>
        </w:rPr>
        <w:t xml:space="preserve">Report Date:</w:t>
      </w:r>
      <w:r>
        <w:t xml:space="preserve"> </w:t>
      </w:r>
      <w:r>
        <w:t xml:space="preserve">Wednesday, July 22, 2026, after market close |</w:t>
      </w:r>
      <w:r>
        <w:t xml:space="preserve"> </w:t>
      </w:r>
      <w:r>
        <w:rPr>
          <w:b/>
          <w:bCs/>
        </w:rPr>
        <w:t xml:space="preserve">Call:</w:t>
      </w:r>
      <w:r>
        <w:t xml:space="preserve"> </w:t>
      </w:r>
      <w:r>
        <w:t xml:space="preserve">5:30 p.m. ET</w:t>
      </w:r>
    </w:p>
    <w:bookmarkStart w:id="9" w:name="Xbfc7885d10a2b315df7121a19e3d53b24830066"/>
    <w:p>
      <w:pPr>
        <w:pStyle w:val="Heading2"/>
      </w:pPr>
      <w:r>
        <w:t xml:space="preserve">Setup: A Strong Delivery Number, But a Skeptical Stock</w:t>
      </w:r>
    </w:p>
    <w:p>
      <w:pPr>
        <w:pStyle w:val="FirstParagraph"/>
      </w:pPr>
      <w:r>
        <w:t xml:space="preserve">Tesla goes into this print having already pre-announced the headline operating metric. On July 2, the company disclosed that it produced over 450,000 vehicles, delivered over 480,000 vehicles and deployed 13.5 GWh of energy storage products in Q2. Specifically, deliveries came in at 480,126 units (467,762 Model 3/Y, 12,364 other models) against production of 451,758 — meaning Tesla drew down inventory rather than building it, a reversal from Q1's overproduction. That delivery figure was up 25% year over year and up 34% sequentially, making this the strongest delivery quarter Tesla has posted in a while, and it beat Wall Street's roughly 400–407K consensus by a wide margin.</w:t>
      </w:r>
    </w:p>
    <w:p>
      <w:pPr>
        <w:pStyle w:val="BodyText"/>
      </w:pPr>
      <w:r>
        <w:t xml:space="preserve">Yet the stock's reaction to that beat was telling: shares initially fell on the delivery news itself as investors focused on uncertain guidance for its AI and robotics business rather than the auto beat, before staging a sharp rally later in the month tied to broader Musk-complex enthusiasm (Grok/SpaceX). TSLA enters earnings around $379, down from highs near $450 in January and roughly flat-to-down for the year, well below its 52-week range highs — reflecting a market still trying to reconcile a "car company" beat with a valuation built on AI, robotics, and autonomy narratives.</w:t>
      </w:r>
    </w:p>
    <w:p>
      <w:pPr>
        <w:pStyle w:val="BodyText"/>
      </w:pPr>
      <w:r>
        <w:t xml:space="preserve">Options markets are bracing for volatility: at-the-money puts and calls are implying a 5.76% move, which is the largest implied move since traders priced in a 6% swing back in October 2025, making this the biggest expected post-earnings swing for TSLA in roughly a year.</w:t>
      </w:r>
    </w:p>
    <w:bookmarkEnd w:id="9"/>
    <w:bookmarkStart w:id="10" w:name="what-we-already-know"/>
    <w:p>
      <w:pPr>
        <w:pStyle w:val="Heading2"/>
      </w:pPr>
      <w:r>
        <w:t xml:space="preserve">What We Already Know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w:t>
            </w:r>
          </w:p>
        </w:tc>
        <w:tc>
          <w:tcPr/>
          <w:p>
            <w:pPr>
              <w:pStyle w:val="Compact"/>
            </w:pPr>
            <w:r>
              <w:t xml:space="preserve">Q1 2026</w:t>
            </w:r>
          </w:p>
        </w:tc>
        <w:tc>
          <w:tcPr/>
          <w:p>
            <w:pPr>
              <w:pStyle w:val="Compact"/>
            </w:pPr>
            <w:r>
              <w:t xml:space="preserve">Q2 2025</w:t>
            </w:r>
          </w:p>
        </w:tc>
      </w:tr>
      <w:tr>
        <w:tc>
          <w:tcPr/>
          <w:p>
            <w:pPr>
              <w:pStyle w:val="Compact"/>
            </w:pPr>
            <w:r>
              <w:t xml:space="preserve">Vehicle deliveries</w:t>
            </w:r>
          </w:p>
        </w:tc>
        <w:tc>
          <w:tcPr/>
          <w:p>
            <w:pPr>
              <w:pStyle w:val="Compact"/>
            </w:pPr>
            <w:r>
              <w:t xml:space="preserve">480,126</w:t>
            </w:r>
          </w:p>
        </w:tc>
        <w:tc>
          <w:tcPr/>
          <w:p>
            <w:pPr>
              <w:pStyle w:val="Compact"/>
            </w:pPr>
            <w:r>
              <w:t xml:space="preserve">~358,000</w:t>
            </w:r>
          </w:p>
        </w:tc>
        <w:tc>
          <w:tcPr/>
          <w:p>
            <w:pPr>
              <w:pStyle w:val="Compact"/>
            </w:pPr>
            <w:r>
              <w:t xml:space="preserve">~384,000</w:t>
            </w:r>
          </w:p>
        </w:tc>
      </w:tr>
      <w:tr>
        <w:tc>
          <w:tcPr/>
          <w:p>
            <w:pPr>
              <w:pStyle w:val="Compact"/>
            </w:pPr>
            <w:r>
              <w:t xml:space="preserve">Vehicle production</w:t>
            </w:r>
          </w:p>
        </w:tc>
        <w:tc>
          <w:tcPr/>
          <w:p>
            <w:pPr>
              <w:pStyle w:val="Compact"/>
            </w:pPr>
            <w:r>
              <w:t xml:space="preserve">451,758</w:t>
            </w:r>
          </w:p>
        </w:tc>
        <w:tc>
          <w:tcPr/>
          <w:p>
            <w:pPr>
              <w:pStyle w:val="Compact"/>
            </w:pPr>
            <w:r>
              <w:t xml:space="preserve">~409,000</w:t>
            </w:r>
          </w:p>
        </w:tc>
        <w:tc>
          <w:tcPr/>
          <w:p>
            <w:pPr>
              <w:pStyle w:val="Compact"/>
            </w:pPr>
            <w:r>
              <w:t xml:space="preserve">—</w:t>
            </w:r>
          </w:p>
        </w:tc>
      </w:tr>
      <w:tr>
        <w:tc>
          <w:tcPr/>
          <w:p>
            <w:pPr>
              <w:pStyle w:val="Compact"/>
            </w:pPr>
            <w:r>
              <w:t xml:space="preserve">Energy storage deployed</w:t>
            </w:r>
          </w:p>
        </w:tc>
        <w:tc>
          <w:tcPr/>
          <w:p>
            <w:pPr>
              <w:pStyle w:val="Compact"/>
            </w:pPr>
            <w:r>
              <w:t xml:space="preserve">13.5 GWh</w:t>
            </w:r>
          </w:p>
        </w:tc>
        <w:tc>
          <w:tcPr/>
          <w:p>
            <w:pPr>
              <w:pStyle w:val="Compact"/>
            </w:pPr>
            <w:r>
              <w:t xml:space="preserve">8.8 GWh</w:t>
            </w:r>
          </w:p>
        </w:tc>
        <w:tc>
          <w:tcPr/>
          <w:p>
            <w:pPr>
              <w:pStyle w:val="Compact"/>
            </w:pPr>
            <w:r>
              <w:t xml:space="preserve">~9.6 GWh</w:t>
            </w:r>
          </w:p>
        </w:tc>
      </w:tr>
    </w:tbl>
    <w:p>
      <w:pPr>
        <w:pStyle w:val="BodyText"/>
      </w:pPr>
      <w:r>
        <w:t xml:space="preserve">The delivery beat was geographically broad-based. Tesla's own Q1 commentary flagged a resurgence in demand in EMEA, and certain countries like France and Germany showing over 150% quarter-over-quarter growth in deliveries, and June European registration data extended that trend, with registrations climbing 39% in Denmark, 56% in Sweden, 5.6% in Spain, and more than doubling in France, aided by EV subsidies, fleet electrification, higher gasoline prices, and fading backlash over Musk's political profile. China and the US also showed modest sequential improvement, though Tesla still trails: BYD retook the global lead in battery electric vehicle sales in Q2 2026, selling 557,090 units against Tesla's 480,126.</w:t>
      </w:r>
    </w:p>
    <w:p>
      <w:pPr>
        <w:pStyle w:val="BodyText"/>
      </w:pPr>
      <w:r>
        <w:t xml:space="preserve">Energy storage of 13.5 GWh, while a record and up sharply from Q1's depressed 8.8 GWh, missed the Street's estimate of approximately 14 GWh, a reminder that the "lumpy," project-driven Megapack business remains harder to forecast than the auto business.</w:t>
      </w:r>
    </w:p>
    <w:bookmarkEnd w:id="10"/>
    <w:bookmarkStart w:id="11" w:name="wall-streets-financial-expectations"/>
    <w:p>
      <w:pPr>
        <w:pStyle w:val="Heading2"/>
      </w:pPr>
      <w:r>
        <w:t xml:space="preserve">Wall Street's Financial Expectations</w:t>
      </w:r>
    </w:p>
    <w:p>
      <w:pPr>
        <w:pStyle w:val="FirstParagraph"/>
      </w:pPr>
      <w:r>
        <w:t xml:space="preserve">Company-compiled sell-side consensus (published by Tesla itself ahead of the print) points to:</w:t>
      </w:r>
    </w:p>
    <w:p>
      <w:pPr>
        <w:pStyle w:val="Compact"/>
        <w:numPr>
          <w:ilvl w:val="0"/>
          <w:numId w:val="1001"/>
        </w:numPr>
      </w:pPr>
      <w:r>
        <w:rPr>
          <w:b/>
          <w:bCs/>
        </w:rPr>
        <w:t xml:space="preserve">Revenue:</w:t>
      </w:r>
      <w:r>
        <w:t xml:space="preserve"> </w:t>
      </w:r>
      <w:r>
        <w:t xml:space="preserve">~</w:t>
      </w:r>
      <m:oMath>
        <m:r>
          <m:t>27.6</m:t>
        </m:r>
        <m:r>
          <m:t>b</m:t>
        </m:r>
        <m:r>
          <m:t>i</m:t>
        </m:r>
        <m:r>
          <m:t>l</m:t>
        </m:r>
        <m:r>
          <m:t>l</m:t>
        </m:r>
        <m:r>
          <m:t>i</m:t>
        </m:r>
        <m:r>
          <m:t>o</m:t>
        </m:r>
        <m:r>
          <m:t>n</m:t>
        </m:r>
        <m:r>
          <m:rPr>
            <m:sty m:val="p"/>
          </m:rPr>
          <m:t>,</m:t>
        </m:r>
        <m:r>
          <m:t>w</m:t>
        </m:r>
        <m:r>
          <m:t>i</m:t>
        </m:r>
        <m:r>
          <m:t>t</m:t>
        </m:r>
        <m:r>
          <m:t>h</m:t>
        </m:r>
        <m:r>
          <m:t>a</m:t>
        </m:r>
        <m:r>
          <m:t>u</m:t>
        </m:r>
        <m:r>
          <m:t>t</m:t>
        </m:r>
        <m:r>
          <m:t>o</m:t>
        </m:r>
        <m:r>
          <m:t>m</m:t>
        </m:r>
        <m:r>
          <m:t>o</m:t>
        </m:r>
        <m:r>
          <m:t>t</m:t>
        </m:r>
        <m:r>
          <m:t>i</m:t>
        </m:r>
        <m:r>
          <m:t>v</m:t>
        </m:r>
        <m:r>
          <m:t>e</m:t>
        </m:r>
        <m:r>
          <m:t>r</m:t>
        </m:r>
        <m:r>
          <m:t>e</m:t>
        </m:r>
        <m:r>
          <m:t>v</m:t>
        </m:r>
        <m:r>
          <m:t>e</m:t>
        </m:r>
        <m:r>
          <m:t>n</m:t>
        </m:r>
        <m:r>
          <m:t>u</m:t>
        </m:r>
        <m:r>
          <m:t>e</m:t>
        </m:r>
        <m:r>
          <m:t>o</m:t>
        </m:r>
        <m:r>
          <m:t>f</m:t>
        </m:r>
        <m:r>
          <m:t> </m:t>
        </m:r>
      </m:oMath>
      <w:r>
        <w:t xml:space="preserve">20.1B, energy of ~</w:t>
      </w:r>
      <m:oMath>
        <m:r>
          <m:t>3.8</m:t>
        </m:r>
        <m:r>
          <m:t>B</m:t>
        </m:r>
        <m:r>
          <m:rPr>
            <m:sty m:val="p"/>
          </m:rPr>
          <m:t>,</m:t>
        </m:r>
        <m:r>
          <m:t>a</m:t>
        </m:r>
        <m:r>
          <m:t>n</m:t>
        </m:r>
        <m:r>
          <m:t>d</m:t>
        </m:r>
        <m:r>
          <m:t>s</m:t>
        </m:r>
        <m:r>
          <m:t>e</m:t>
        </m:r>
        <m:r>
          <m:t>r</m:t>
        </m:r>
        <m:r>
          <m:t>v</m:t>
        </m:r>
        <m:r>
          <m:t>i</m:t>
        </m:r>
        <m:r>
          <m:t>c</m:t>
        </m:r>
        <m:r>
          <m:t>e</m:t>
        </m:r>
        <m:r>
          <m:t>s</m:t>
        </m:r>
        <m:r>
          <m:t>o</m:t>
        </m:r>
        <m:r>
          <m:t>f</m:t>
        </m:r>
        <m:r>
          <m:t> </m:t>
        </m:r>
      </m:oMath>
      <w:r>
        <w:t xml:space="preserve">3.8B</w:t>
      </w:r>
    </w:p>
    <w:p>
      <w:pPr>
        <w:pStyle w:val="Compact"/>
        <w:numPr>
          <w:ilvl w:val="0"/>
          <w:numId w:val="1001"/>
        </w:numPr>
      </w:pPr>
      <w:r>
        <w:rPr>
          <w:b/>
          <w:bCs/>
        </w:rPr>
        <w:t xml:space="preserve">Gross margin:</w:t>
      </w:r>
      <w:r>
        <w:t xml:space="preserve"> </w:t>
      </w:r>
      <w:r>
        <w:t xml:space="preserve">~19.5%;</w:t>
      </w:r>
      <w:r>
        <w:t xml:space="preserve"> </w:t>
      </w:r>
      <w:r>
        <w:rPr>
          <w:b/>
          <w:bCs/>
        </w:rPr>
        <w:t xml:space="preserve">operating margin:</w:t>
      </w:r>
      <w:r>
        <w:t xml:space="preserve"> </w:t>
      </w:r>
      <w:r>
        <w:t xml:space="preserve">~5.4%</w:t>
      </w:r>
    </w:p>
    <w:p>
      <w:pPr>
        <w:pStyle w:val="Compact"/>
        <w:numPr>
          <w:ilvl w:val="0"/>
          <w:numId w:val="1001"/>
        </w:numPr>
      </w:pPr>
      <w:r>
        <w:rPr>
          <w:b/>
          <w:bCs/>
        </w:rPr>
        <w:t xml:space="preserve">GAAP EPS:</w:t>
      </w:r>
      <w:r>
        <w:t xml:space="preserve"> </w:t>
      </w:r>
      <w:r>
        <w:t xml:space="preserve">~</w:t>
      </w:r>
      <m:oMath>
        <m:r>
          <m:t>0.36</m:t>
        </m:r>
        <m:r>
          <m:rPr>
            <m:sty m:val="p"/>
          </m:rPr>
          <m:t>;</m:t>
        </m:r>
        <m:r>
          <m:rPr>
            <m:sty m:val="p"/>
          </m:rPr>
          <m:t>*</m:t>
        </m:r>
        <m:r>
          <m:rPr>
            <m:sty m:val="p"/>
          </m:rPr>
          <m:t>*</m:t>
        </m:r>
        <m:r>
          <m:t>N</m:t>
        </m:r>
        <m:r>
          <m:t>o</m:t>
        </m:r>
        <m:r>
          <m:t>n</m:t>
        </m:r>
        <m:r>
          <m:rPr>
            <m:sty m:val="p"/>
          </m:rPr>
          <m:t>−</m:t>
        </m:r>
        <m:r>
          <m:t>G</m:t>
        </m:r>
        <m:r>
          <m:t>A</m:t>
        </m:r>
        <m:r>
          <m:t>A</m:t>
        </m:r>
        <m:r>
          <m:t>P</m:t>
        </m:r>
        <m:r>
          <m:t>E</m:t>
        </m:r>
        <m:r>
          <m:t>P</m:t>
        </m:r>
        <m:r>
          <m:t>S</m:t>
        </m:r>
        <m:r>
          <m:rPr>
            <m:sty m:val="p"/>
          </m:rPr>
          <m:t>:</m:t>
        </m:r>
        <m:r>
          <m:rPr>
            <m:sty m:val="p"/>
          </m:rPr>
          <m:t>*</m:t>
        </m:r>
        <m:r>
          <m:rPr>
            <m:sty m:val="p"/>
          </m:rPr>
          <m:t>*</m:t>
        </m:r>
        <m:r>
          <m:t> </m:t>
        </m:r>
      </m:oMath>
      <w:r>
        <w:t xml:space="preserve">0.55; net income attributable to shareholders ~$1.28B</w:t>
      </w:r>
    </w:p>
    <w:p>
      <w:pPr>
        <w:pStyle w:val="FirstParagraph"/>
      </w:pPr>
      <w:r>
        <w:t xml:space="preserve">Independent trackers are a bit more conservative — Zacks pegs the quarter at 47 cents per share and $24.7 billion in revenue, while Estimize crowd-sourced estimates sit near $25.9B revenue and $0.52 EPS. The spread across estimates is unusually wide: Wall Street estimates range from $0.27 to $0.74 a share, and Deutsche Bank is out at just $0.36, reflecting genuine disagreement about how much of the delivery surge came from discounting versus operating leverage. For full-year 2026, consensus sits near $103–105B in revenue and roughly $2.05–2.15 in non-GAAP EPS.</w:t>
      </w:r>
    </w:p>
    <w:bookmarkEnd w:id="11"/>
    <w:bookmarkStart w:id="12" w:name="X338bac21222dfa535d1ed95b1845f66268bd042"/>
    <w:p>
      <w:pPr>
        <w:pStyle w:val="Heading2"/>
      </w:pPr>
      <w:r>
        <w:t xml:space="preserve">The Number That Actually Matters: Automotive Gross Margin</w:t>
      </w:r>
    </w:p>
    <w:p>
      <w:pPr>
        <w:pStyle w:val="FirstParagraph"/>
      </w:pPr>
      <w:r>
        <w:t xml:space="preserve">Deliveries are already public; the swing factor for the stock is</w:t>
      </w:r>
      <w:r>
        <w:t xml:space="preserve"> </w:t>
      </w:r>
      <w:r>
        <w:rPr>
          <w:b/>
          <w:bCs/>
        </w:rPr>
        <w:t xml:space="preserve">automotive gross margin excluding regulatory credits</w:t>
      </w:r>
      <w:r>
        <w:t xml:space="preserve">. On the Q1 call, CFO Vaibhav Taneja noted that auto margins, excluding credits, improved sequentially from 17.9% to 19.2%, helped by one-time warranty true-downs (~$230M) and tariff relief, while flagging that tariffs and sustained high interest rates continue to add to our automotive cost and that subvention costs from financing incentives are recognized upfront. Heading into Q2, analysts are split on whether the delivery beat was won with price cuts, cheap financing and incentives (margin-negative) or simply better factory utilization on higher volume (margin-positive) — one analyst framework puts the swing between "the quarter is genuinely strong" and Tesla having effectively bought those 480,000 deliveries with discounts and cheap financing squarely on this line item.</w:t>
      </w:r>
    </w:p>
    <w:bookmarkEnd w:id="12"/>
    <w:bookmarkStart w:id="13" w:name="capex-ramp-and-cash-burn"/>
    <w:p>
      <w:pPr>
        <w:pStyle w:val="Heading2"/>
      </w:pPr>
      <w:r>
        <w:t xml:space="preserve">Capex Ramp and Cash Burn</w:t>
      </w:r>
    </w:p>
    <w:p>
      <w:pPr>
        <w:pStyle w:val="FirstParagraph"/>
      </w:pPr>
      <w:r>
        <w:t xml:space="preserve">Management has already primed investors for a step-change in spending. On the Q1 call, Musk said Tesla would see a very significant increase in capital expenditures, but I think well justified for a substantially increased future revenue stream, and Taneja guided to over</w:t>
      </w:r>
      <w:r>
        <w:t xml:space="preserve"> </w:t>
      </w:r>
      <m:oMath>
        <m:r>
          <m:t>25</m:t>
        </m:r>
        <m:r>
          <m:t>b</m:t>
        </m:r>
        <m:r>
          <m:t>i</m:t>
        </m:r>
        <m:r>
          <m:t>l</m:t>
        </m:r>
        <m:r>
          <m:t>l</m:t>
        </m:r>
        <m:r>
          <m:t>i</m:t>
        </m:r>
        <m:r>
          <m:t>o</m:t>
        </m:r>
        <m:r>
          <m:t>n</m:t>
        </m:r>
        <m:r>
          <m:t>o</m:t>
        </m:r>
        <m:r>
          <m:t>f</m:t>
        </m:r>
        <m:r>
          <m:t>C</m:t>
        </m:r>
        <m:r>
          <m:t>a</m:t>
        </m:r>
        <m:r>
          <m:t>p</m:t>
        </m:r>
        <m:r>
          <m:t>E</m:t>
        </m:r>
        <m:r>
          <m:t>x</m:t>
        </m:r>
        <m:r>
          <m:t>f</m:t>
        </m:r>
        <m:r>
          <m:t>o</m:t>
        </m:r>
        <m:r>
          <m:t>r</m:t>
        </m:r>
        <m:r>
          <m:t>2026</m:t>
        </m:r>
        <m:r>
          <m:rPr>
            <m:sty m:val="p"/>
          </m:rPr>
          <m:t>—</m:t>
        </m:r>
        <m:r>
          <m:t>u</m:t>
        </m:r>
        <m:r>
          <m:t>p</m:t>
        </m:r>
        <m:r>
          <m:t>f</m:t>
        </m:r>
        <m:r>
          <m:t>r</m:t>
        </m:r>
        <m:r>
          <m:t>o</m:t>
        </m:r>
        <m:r>
          <m:t>m</m:t>
        </m:r>
        <m:r>
          <m:t>a</m:t>
        </m:r>
        <m:r>
          <m:t>n</m:t>
        </m:r>
        <m:r>
          <m:t>o</m:t>
        </m:r>
        <m:r>
          <m:t>r</m:t>
        </m:r>
        <m:r>
          <m:t>i</m:t>
        </m:r>
        <m:r>
          <m:t>g</m:t>
        </m:r>
        <m:r>
          <m:t>i</m:t>
        </m:r>
        <m:r>
          <m:t>n</m:t>
        </m:r>
        <m:r>
          <m:t>a</m:t>
        </m:r>
        <m:r>
          <m:t>l</m:t>
        </m:r>
        <m:r>
          <m:t> </m:t>
        </m:r>
      </m:oMath>
      <w:r>
        <w:t xml:space="preserve">20B plan and nearly triple 2025's $8.5B — to fund six new factories, AI infrastructure, the Giga Texas research chip fab, Cybercab, Semi, Optimus and Megapack 3. Free cash flow was just $1.4 billion in Q1, and management explicitly warned of</w:t>
      </w:r>
      <w:r>
        <w:t xml:space="preserve"> </w:t>
      </w:r>
      <w:r>
        <w:rPr>
          <w:b/>
          <w:bCs/>
        </w:rPr>
        <w:t xml:space="preserve">negative free cash flow for the rest of the year</w:t>
      </w:r>
      <w:r>
        <w:t xml:space="preserve">. Investors will want an update on whether that capex number is holding, moving higher, or being phased differently given the delivery upside.</w:t>
      </w:r>
    </w:p>
    <w:bookmarkEnd w:id="13"/>
    <w:bookmarkStart w:id="14" w:name="key-themes-to-watch-on-the-call"/>
    <w:p>
      <w:pPr>
        <w:pStyle w:val="Heading2"/>
      </w:pPr>
      <w:r>
        <w:t xml:space="preserve">Key Themes to Watch on the Call</w:t>
      </w:r>
    </w:p>
    <w:p>
      <w:pPr>
        <w:pStyle w:val="FirstParagraph"/>
      </w:pPr>
      <w:r>
        <w:rPr>
          <w:b/>
          <w:bCs/>
        </w:rPr>
        <w:t xml:space="preserve">1. Robotaxi/FSD monetization timeline.</w:t>
      </w:r>
      <w:r>
        <w:t xml:space="preserve"> </w:t>
      </w:r>
      <w:r>
        <w:t xml:space="preserve">Musk has been consistent that near-term financial contribution is limited: on Q1 he said he thinks unsupervised FSD or Robotaxi revenue would not be super material this year but should be material next year. Since then, the service has expanded — Tesla rolled out its robotaxi unit to Miami and began testing a pedal/steering-wheel-free Cybercab in Austin — while a Trump-administration DOT proposal to drop the brake-pedal requirement for fully automated vehicles could remove a regulatory hurdle. Investors should listen for any updated timeline on scaling beyond the current handful of cities and any early revenue disclosure.</w:t>
      </w:r>
    </w:p>
    <w:p>
      <w:pPr>
        <w:pStyle w:val="BodyText"/>
      </w:pPr>
      <w:r>
        <w:rPr>
          <w:b/>
          <w:bCs/>
        </w:rPr>
        <w:t xml:space="preserve">2. Optimus.</w:t>
      </w:r>
      <w:r>
        <w:t xml:space="preserve"> </w:t>
      </w:r>
      <w:r>
        <w:t xml:space="preserve">Production start was targeted for "late July, August" as of the Q1 call, with Musk cautioning it is literally impossible to predict initial output given a brand-new supply chain. Watch for confirmation of production start, any V3 design reveal, and capex tied to the second Optimus factory at Giga Texas.</w:t>
      </w:r>
    </w:p>
    <w:p>
      <w:pPr>
        <w:pStyle w:val="BodyText"/>
      </w:pPr>
      <w:r>
        <w:rPr>
          <w:b/>
          <w:bCs/>
        </w:rPr>
        <w:t xml:space="preserve">3. Safety/regulatory overhang.</w:t>
      </w:r>
      <w:r>
        <w:t xml:space="preserve"> </w:t>
      </w:r>
      <w:r>
        <w:t xml:space="preserve">FSD remains under multiple NHTSA/NTSB investigations. A fatal Texas crash was in the news this month; the NTSB has now confirmed a Tesla driver involved in a fatal June crash in Texas had pressed the accelerator pedal to 100%, overriding the company's Full Self-Driving (Supervised) software, which is a helpful data point for Tesla, but broader NHTSA engineering analyses into visibility/degradation detection and red-light/wrong-lane behavior remain open and carry recall risk.</w:t>
      </w:r>
    </w:p>
    <w:p>
      <w:pPr>
        <w:pStyle w:val="BodyText"/>
      </w:pPr>
      <w:r>
        <w:rPr>
          <w:b/>
          <w:bCs/>
        </w:rPr>
        <w:t xml:space="preserve">4. The SpaceX/AI-chip complex.</w:t>
      </w:r>
      <w:r>
        <w:t xml:space="preserve"> </w:t>
      </w:r>
      <w:r>
        <w:t xml:space="preserve">Musk continues to blur Tesla's identity as more than a car company, increasingly emphasizing its roles as a robot company and AI/chip company, including the Terafab chip project split between Tesla's research fab and SpaceX's scaled production, and Tesla staff being directed to use SpaceX's Grok model. Speculation about a potential Tesla/SpaceX tie-up (SpaceX just completed its own IPO, reporting earnings August 4) is an increasing swing factor for sentiment; expect analyst questions on capital allocation and governance/conflict-of-interest processes given intercompany dealings already flagged on the Q1 call.</w:t>
      </w:r>
    </w:p>
    <w:p>
      <w:pPr>
        <w:pStyle w:val="BodyText"/>
      </w:pPr>
      <w:r>
        <w:rPr>
          <w:b/>
          <w:bCs/>
        </w:rPr>
        <w:t xml:space="preserve">5. Battery/manufacturing capacity.</w:t>
      </w:r>
      <w:r>
        <w:t xml:space="preserve"> </w:t>
      </w:r>
      <w:r>
        <w:t xml:space="preserve">Management called battery pack capacity — not cells — the binding constraint on production growth, with Giga Berlin, Reno and Shanghai capacity additions underway; an update on whether this bottleneck has eased given the Q2 delivery surge will matter for the growth trajectory into H2.</w:t>
      </w:r>
    </w:p>
    <w:bookmarkEnd w:id="14"/>
    <w:bookmarkStart w:id="15" w:name="valuation-context"/>
    <w:p>
      <w:pPr>
        <w:pStyle w:val="Heading2"/>
      </w:pPr>
      <w:r>
        <w:t xml:space="preserve">Valuation Context</w:t>
      </w:r>
    </w:p>
    <w:p>
      <w:pPr>
        <w:pStyle w:val="FirstParagraph"/>
      </w:pPr>
      <w:r>
        <w:t xml:space="preserve">TSLA remains priced for the AI/robotics story, not the auto business. Even the bearish read leaves the stock at a lofty multiple: Multiple analysts currently peg TSLA at around 360 times trailing earnings, or roughly 175 to 180 times projected 2026 earnings using full-year consensus. Sell-side price targets diverge enormously, from a Street-low Wells Fargo target near $130 up through targets well above current levels, underscoring that this print will likely be read less on a beat/miss basis and more on whether it changes the market's confidence in Tesla's multi-year robotaxi/Optimus/AI bet.</w:t>
      </w:r>
    </w:p>
    <w:bookmarkEnd w:id="15"/>
    <w:bookmarkStart w:id="16" w:name="bottom-line-for-investors"/>
    <w:p>
      <w:pPr>
        <w:pStyle w:val="Heading2"/>
      </w:pPr>
      <w:r>
        <w:t xml:space="preserve">Bottom Line for Investors</w:t>
      </w:r>
    </w:p>
    <w:p>
      <w:pPr>
        <w:pStyle w:val="FirstParagraph"/>
      </w:pPr>
      <w:r>
        <w:t xml:space="preserve">The delivery and production numbers are already known and were unambiguously strong — Tesla's best Q2 ever and its first year-over-year delivery growth in two years, powered by a European rebound and high gas prices pulling buyers toward EVs. What remains unknown, and what will move the stock tomorrow, is:</w:t>
      </w:r>
    </w:p>
    <w:p>
      <w:pPr>
        <w:pStyle w:val="Compact"/>
        <w:numPr>
          <w:ilvl w:val="0"/>
          <w:numId w:val="1002"/>
        </w:numPr>
      </w:pPr>
      <w:r>
        <w:t xml:space="preserve">Whether</w:t>
      </w:r>
      <w:r>
        <w:t xml:space="preserve"> </w:t>
      </w:r>
      <w:r>
        <w:rPr>
          <w:b/>
          <w:bCs/>
        </w:rPr>
        <w:t xml:space="preserve">automotive gross margin ex-credits</w:t>
      </w:r>
      <w:r>
        <w:t xml:space="preserve"> </w:t>
      </w:r>
      <w:r>
        <w:t xml:space="preserve">held near Q1's ~19% or eroded on discounting/financing costs used to drive volume;</w:t>
      </w:r>
    </w:p>
    <w:p>
      <w:pPr>
        <w:pStyle w:val="Compact"/>
        <w:numPr>
          <w:ilvl w:val="0"/>
          <w:numId w:val="1002"/>
        </w:numPr>
      </w:pPr>
      <w:r>
        <w:t xml:space="preserve">Whether</w:t>
      </w:r>
      <w:r>
        <w:t xml:space="preserve"> </w:t>
      </w:r>
      <w:r>
        <w:rPr>
          <w:b/>
          <w:bCs/>
        </w:rPr>
        <w:t xml:space="preserve">energy storage margins</w:t>
      </w:r>
      <w:r>
        <w:t xml:space="preserve"> </w:t>
      </w:r>
      <w:r>
        <w:t xml:space="preserve">stay elevated or normalize down as flagged last quarter;</w:t>
      </w:r>
    </w:p>
    <w:p>
      <w:pPr>
        <w:pStyle w:val="Compact"/>
        <w:numPr>
          <w:ilvl w:val="0"/>
          <w:numId w:val="1002"/>
        </w:numPr>
      </w:pPr>
      <w:r>
        <w:t xml:space="preserve">Any</w:t>
      </w:r>
      <w:r>
        <w:t xml:space="preserve"> </w:t>
      </w:r>
      <w:r>
        <w:rPr>
          <w:b/>
          <w:bCs/>
        </w:rPr>
        <w:t xml:space="preserve">update to the $25B+ 2026 capex guide</w:t>
      </w:r>
      <w:r>
        <w:t xml:space="preserve"> </w:t>
      </w:r>
      <w:r>
        <w:t xml:space="preserve">and the path to positive free cash flow;</w:t>
      </w:r>
    </w:p>
    <w:p>
      <w:pPr>
        <w:pStyle w:val="Compact"/>
        <w:numPr>
          <w:ilvl w:val="0"/>
          <w:numId w:val="1002"/>
        </w:numPr>
      </w:pPr>
      <w:r>
        <w:t xml:space="preserve">Concrete</w:t>
      </w:r>
      <w:r>
        <w:t xml:space="preserve"> </w:t>
      </w:r>
      <w:r>
        <w:rPr>
          <w:b/>
          <w:bCs/>
        </w:rPr>
        <w:t xml:space="preserve">timelines for Robotaxi scale-up, Optimus production, and FSD monetization</w:t>
      </w:r>
      <w:r>
        <w:t xml:space="preserve"> </w:t>
      </w:r>
      <w:r>
        <w:t xml:space="preserve">— the pieces the market is actually valuing the stock on; and</w:t>
      </w:r>
    </w:p>
    <w:p>
      <w:pPr>
        <w:pStyle w:val="Compact"/>
        <w:numPr>
          <w:ilvl w:val="0"/>
          <w:numId w:val="1002"/>
        </w:numPr>
      </w:pPr>
      <w:r>
        <w:t xml:space="preserve">Any incremental disclosure on the</w:t>
      </w:r>
      <w:r>
        <w:t xml:space="preserve"> </w:t>
      </w:r>
      <w:r>
        <w:rPr>
          <w:b/>
          <w:bCs/>
        </w:rPr>
        <w:t xml:space="preserve">SpaceX relationship</w:t>
      </w:r>
      <w:r>
        <w:t xml:space="preserve"> </w:t>
      </w:r>
      <w:r>
        <w:t xml:space="preserve">(Terafab, Grok, potential corporate ties).</w:t>
      </w:r>
    </w:p>
    <w:p>
      <w:pPr>
        <w:pStyle w:val="FirstParagraph"/>
      </w:pPr>
      <w:r>
        <w:t xml:space="preserve">Given the 5.76% options-implied move — the largest in roughly a year — investors should expect a volatile reaction regardless of whether the reported numbers beat or miss consensus, with the qualitative commentary on margins, capex, and the AI/robotics roadmap likely to matter more than the EPS print itself.</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2026-07-22T00:50:02Z</dcterms:created>
  <dcterms:modified xsi:type="dcterms:W3CDTF">2026-07-22T00:50:02Z</dcterms:modified>
</cp:coreProperties>
</file>

<file path=docProps/custom.xml><?xml version="1.0" encoding="utf-8"?>
<Properties xmlns="http://schemas.openxmlformats.org/officeDocument/2006/custom-properties" xmlns:vt="http://schemas.openxmlformats.org/officeDocument/2006/docPropsVTypes"/>
</file>