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la-earnings-predictions--2026-07-22"/>
    <w:p>
      <w:pPr>
        <w:pStyle w:val="Heading1"/>
      </w:pPr>
      <w:r>
        <w:t xml:space="preserve">TSLA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~$0.53 vs. cons $0.55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gross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~19.0% vs. cons 19.5%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2.6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3.25B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implied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~$2.00 vs. cons $2.08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~$25.5B vs. cons $25.3B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vehicle deliveries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~1.75M vs. cons 1.729M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-7.2% (FOLLOW-THROUGH)</w:t>
            </w:r>
          </w:p>
        </w:tc>
        <w:tc>
          <w:tcPr/>
          <w:p>
            <w:pPr>
              <w:pStyle w:val="Compact"/>
            </w:pPr>
            <w:r>
              <w:t xml:space="preserve">Day-5 residual ~-7.2% vs. day-1 residual -5.1%; weaker normalized automotive profitability and implied FY2026 EPS of ~$2.00 vs. $2.08 consensus should drive downward revisions despite better quarterly free cash flow.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2026-07-22T00:50:09Z</dcterms:created>
  <dcterms:modified xsi:type="dcterms:W3CDTF">2026-07-22T00:50:09Z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