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tsla-q2-2026-earnings-preview"/>
    <w:p>
      <w:pPr>
        <w:pStyle w:val="Heading1"/>
      </w:pPr>
      <w:r>
        <w:t xml:space="preserve">TSLA Q2 2026 Earnings Preview</w:t>
      </w:r>
    </w:p>
    <w:p>
      <w:pPr>
        <w:pStyle w:val="BlockText"/>
      </w:pPr>
      <w:r>
        <w:rPr>
          <w:b/>
          <w:bCs/>
        </w:rPr>
        <w:t xml:space="preserve">Timing clarification:</w:t>
      </w:r>
      <w:r>
        <w:t xml:space="preserve"> </w:t>
      </w:r>
      <w:r>
        <w:t xml:space="preserve">Tesla reports</w:t>
      </w:r>
      <w:r>
        <w:t xml:space="preserve"> </w:t>
      </w:r>
      <w:r>
        <w:rPr>
          <w:b/>
          <w:bCs/>
        </w:rPr>
        <w:t xml:space="preserve">today, Wednesday, July 22, 2026</w:t>
      </w:r>
      <w:r>
        <w:t xml:space="preserve">, after the U.S. market close—not tomorrow. The earnings call begins at</w:t>
      </w:r>
      <w:r>
        <w:t xml:space="preserve"> </w:t>
      </w:r>
      <w:r>
        <w:rPr>
          <w:b/>
          <w:bCs/>
        </w:rPr>
        <w:t xml:space="preserve">5:30 p.m. Eastern / 4:30 p.m. Central</w:t>
      </w:r>
      <w:r>
        <w:t xml:space="preserve">. (</w:t>
      </w:r>
      <w:hyperlink r:id="rId9">
        <w:r>
          <w:rPr>
            <w:rStyle w:val="Hyperlink"/>
          </w:rPr>
          <w:t xml:space="preserve">ir.tesla.com</w:t>
        </w:r>
      </w:hyperlink>
      <w:r>
        <w:t xml:space="preserve">)</w:t>
      </w:r>
    </w:p>
    <w:bookmarkStart w:id="11" w:name="executive-summary"/>
    <w:p>
      <w:pPr>
        <w:pStyle w:val="Heading2"/>
      </w:pPr>
      <w:r>
        <w:t xml:space="preserve">Executive summary</w:t>
      </w:r>
    </w:p>
    <w:p>
      <w:pPr>
        <w:pStyle w:val="FirstParagraph"/>
      </w:pPr>
      <w:r>
        <w:t xml:space="preserve">Tesla enters the report with an unusually favorable operating setup: Q2 vehicle deliveries beat the pre-report sell-side consensus by roughly</w:t>
      </w:r>
      <w:r>
        <w:t xml:space="preserve"> </w:t>
      </w:r>
      <w:r>
        <w:rPr>
          <w:b/>
          <w:bCs/>
        </w:rPr>
        <w:t xml:space="preserve">18%</w:t>
      </w:r>
      <w:r>
        <w:t xml:space="preserve">, while energy-storage deployments rebounded sharply from Q1. That should produce strong sequential revenue and operating-income growth.</w:t>
      </w:r>
    </w:p>
    <w:p>
      <w:pPr>
        <w:pStyle w:val="BodyText"/>
      </w:pPr>
      <w:r>
        <w:t xml:space="preserve">The harder questions are:</w:t>
      </w:r>
    </w:p>
    <w:p>
      <w:pPr>
        <w:pStyle w:val="Compact"/>
        <w:numPr>
          <w:ilvl w:val="0"/>
          <w:numId w:val="1001"/>
        </w:numPr>
      </w:pPr>
      <w:r>
        <w:rPr>
          <w:b/>
          <w:bCs/>
        </w:rPr>
        <w:t xml:space="preserve">How profitable were the additional vehicle deliveries?</w:t>
      </w:r>
    </w:p>
    <w:p>
      <w:pPr>
        <w:pStyle w:val="Compact"/>
        <w:numPr>
          <w:ilvl w:val="0"/>
          <w:numId w:val="1001"/>
        </w:numPr>
      </w:pPr>
      <w:r>
        <w:rPr>
          <w:b/>
          <w:bCs/>
        </w:rPr>
        <w:t xml:space="preserve">How much cash is Tesla burning as capital spending accelerates?</w:t>
      </w:r>
    </w:p>
    <w:p>
      <w:pPr>
        <w:pStyle w:val="Compact"/>
        <w:numPr>
          <w:ilvl w:val="0"/>
          <w:numId w:val="1001"/>
        </w:numPr>
      </w:pPr>
      <w:r>
        <w:rPr>
          <w:b/>
          <w:bCs/>
        </w:rPr>
        <w:t xml:space="preserve">Is Robotaxi progressing from small pilots toward a scalable commercial business?</w:t>
      </w:r>
    </w:p>
    <w:p>
      <w:pPr>
        <w:pStyle w:val="Compact"/>
        <w:numPr>
          <w:ilvl w:val="0"/>
          <w:numId w:val="1001"/>
        </w:numPr>
      </w:pPr>
      <w:r>
        <w:rPr>
          <w:b/>
          <w:bCs/>
        </w:rPr>
        <w:t xml:space="preserve">Are Cybercab, Semi and Optimus production schedules holding?</w:t>
      </w:r>
    </w:p>
    <w:p>
      <w:pPr>
        <w:pStyle w:val="FirstParagraph"/>
      </w:pPr>
      <w:r>
        <w:t xml:space="preserve">Tesla’s approximately</w:t>
      </w:r>
      <w:r>
        <w:t xml:space="preserve"> </w:t>
      </w:r>
      <w:r>
        <w:rPr>
          <w:b/>
          <w:bCs/>
        </w:rPr>
        <w:t xml:space="preserve">$1.34 trillion market capitalization</w:t>
      </w:r>
      <w:r>
        <w:t xml:space="preserve"> </w:t>
      </w:r>
      <w:r>
        <w:t xml:space="preserve">and roughly</w:t>
      </w:r>
      <w:r>
        <w:t xml:space="preserve"> </w:t>
      </w:r>
      <w:r>
        <w:rPr>
          <w:b/>
          <w:bCs/>
        </w:rPr>
        <w:t xml:space="preserve">182x company-compiled 2026 non-GAAP EPS consensus</w:t>
      </w:r>
      <w:r>
        <w:t xml:space="preserve"> </w:t>
      </w:r>
      <w:r>
        <w:t xml:space="preserve">leave little room for an ordinary automotive result. Investors will probably require both acceptable near-term margins and credible evidence that AI, autonomy and robotics can eventually justify the valuation. (</w:t>
      </w:r>
      <w:hyperlink r:id="rId10">
        <w:r>
          <w:rPr>
            <w:rStyle w:val="Hyperlink"/>
          </w:rPr>
          <w:t xml:space="preserve">ir.tesla.com</w:t>
        </w:r>
      </w:hyperlink>
      <w:r>
        <w:t xml:space="preserve">)</w:t>
      </w:r>
    </w:p>
    <w:p>
      <w:r>
        <w:pict>
          <v:rect style="width:0;height:1.5pt" o:hralign="center" o:hrstd="t" o:hr="t"/>
        </w:pict>
      </w:r>
    </w:p>
    <w:bookmarkEnd w:id="11"/>
    <w:bookmarkStart w:id="12" w:name="street-expectations"/>
    <w:p>
      <w:pPr>
        <w:pStyle w:val="Heading2"/>
      </w:pPr>
      <w:r>
        <w:t xml:space="preserve">Street expectations</w:t>
      </w:r>
    </w:p>
    <w:p>
      <w:pPr>
        <w:pStyle w:val="FirstParagraph"/>
      </w:pPr>
      <w:r>
        <w:t xml:space="preserve">Tesla’s company-compiled consensus, based on estimates submitted by 23 sell-side firms, is as follows: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2026 metric</w:t>
            </w:r>
          </w:p>
        </w:tc>
        <w:tc>
          <w:tcPr/>
          <w:p>
            <w:pPr>
              <w:pStyle w:val="Compact"/>
              <w:jc w:val="right"/>
            </w:pPr>
            <w:r>
              <w:t xml:space="preserve">Consensus average</w:t>
            </w:r>
          </w:p>
        </w:tc>
        <w:tc>
          <w:tcPr/>
          <w:p>
            <w:pPr>
              <w:pStyle w:val="Compact"/>
              <w:jc w:val="right"/>
            </w:pPr>
            <w:r>
              <w:t xml:space="preserve">Q1 2026 actual</w:t>
            </w:r>
          </w:p>
        </w:tc>
        <w:tc>
          <w:tcPr/>
          <w:p>
            <w:pPr>
              <w:pStyle w:val="Compact"/>
              <w:jc w:val="right"/>
            </w:pPr>
            <w:r>
              <w:t xml:space="preserve">Sequential change</w:t>
            </w:r>
          </w:p>
        </w:tc>
      </w:tr>
      <w:tr>
        <w:tc>
          <w:tcPr/>
          <w:p>
            <w:pPr>
              <w:pStyle w:val="Compact"/>
            </w:pPr>
            <w:r>
              <w:t xml:space="preserve">Automotive revenue</w:t>
            </w:r>
          </w:p>
        </w:tc>
        <w:tc>
          <w:tcPr/>
          <w:p>
            <w:pPr>
              <w:pStyle w:val="Compact"/>
              <w:jc w:val="right"/>
            </w:pPr>
            <w:r>
              <w:rPr>
                <w:b/>
                <w:bCs/>
              </w:rPr>
              <w:t xml:space="preserve">$20.05B</w:t>
            </w:r>
          </w:p>
        </w:tc>
        <w:tc>
          <w:tcPr/>
          <w:p>
            <w:pPr>
              <w:pStyle w:val="Compact"/>
              <w:jc w:val="right"/>
            </w:pPr>
            <w:r>
              <w:t xml:space="preserve">$16.23B</w:t>
            </w:r>
          </w:p>
        </w:tc>
        <w:tc>
          <w:tcPr/>
          <w:p>
            <w:pPr>
              <w:pStyle w:val="Compact"/>
              <w:jc w:val="right"/>
            </w:pPr>
            <w:r>
              <w:t xml:space="preserve">+24%</w:t>
            </w:r>
          </w:p>
        </w:tc>
      </w:tr>
      <w:tr>
        <w:tc>
          <w:tcPr/>
          <w:p>
            <w:pPr>
              <w:pStyle w:val="Compact"/>
            </w:pPr>
            <w:r>
              <w:t xml:space="preserve">Energy revenue</w:t>
            </w:r>
          </w:p>
        </w:tc>
        <w:tc>
          <w:tcPr/>
          <w:p>
            <w:pPr>
              <w:pStyle w:val="Compact"/>
              <w:jc w:val="right"/>
            </w:pPr>
            <w:r>
              <w:rPr>
                <w:b/>
                <w:bCs/>
              </w:rPr>
              <w:t xml:space="preserve">$3.77B</w:t>
            </w:r>
          </w:p>
        </w:tc>
        <w:tc>
          <w:tcPr/>
          <w:p>
            <w:pPr>
              <w:pStyle w:val="Compact"/>
              <w:jc w:val="right"/>
            </w:pPr>
            <w:r>
              <w:t xml:space="preserve">$2.41B</w:t>
            </w:r>
          </w:p>
        </w:tc>
        <w:tc>
          <w:tcPr/>
          <w:p>
            <w:pPr>
              <w:pStyle w:val="Compact"/>
              <w:jc w:val="right"/>
            </w:pPr>
            <w:r>
              <w:t xml:space="preserve">+57%</w:t>
            </w:r>
          </w:p>
        </w:tc>
      </w:tr>
      <w:tr>
        <w:tc>
          <w:tcPr/>
          <w:p>
            <w:pPr>
              <w:pStyle w:val="Compact"/>
            </w:pPr>
            <w:r>
              <w:t xml:space="preserve">Services and other</w:t>
            </w:r>
          </w:p>
        </w:tc>
        <w:tc>
          <w:tcPr/>
          <w:p>
            <w:pPr>
              <w:pStyle w:val="Compact"/>
              <w:jc w:val="right"/>
            </w:pPr>
            <w:r>
              <w:rPr>
                <w:b/>
                <w:bCs/>
              </w:rPr>
              <w:t xml:space="preserve">$3.76B</w:t>
            </w:r>
          </w:p>
        </w:tc>
        <w:tc>
          <w:tcPr/>
          <w:p>
            <w:pPr>
              <w:pStyle w:val="Compact"/>
              <w:jc w:val="right"/>
            </w:pPr>
            <w:r>
              <w:t xml:space="preserve">$3.75B</w:t>
            </w:r>
          </w:p>
        </w:tc>
        <w:tc>
          <w:tcPr/>
          <w:p>
            <w:pPr>
              <w:pStyle w:val="Compact"/>
              <w:jc w:val="right"/>
            </w:pPr>
            <w:r>
              <w:t xml:space="preserve">Flat</w:t>
            </w:r>
          </w:p>
        </w:tc>
      </w:tr>
      <w:tr>
        <w:tc>
          <w:tcPr/>
          <w:p>
            <w:pPr>
              <w:pStyle w:val="Compact"/>
            </w:pPr>
            <w:r>
              <w:rPr>
                <w:b/>
                <w:bCs/>
              </w:rPr>
              <w:t xml:space="preserve">Total revenue</w:t>
            </w:r>
          </w:p>
        </w:tc>
        <w:tc>
          <w:tcPr/>
          <w:p>
            <w:pPr>
              <w:pStyle w:val="Compact"/>
              <w:jc w:val="right"/>
            </w:pPr>
            <w:r>
              <w:rPr>
                <w:b/>
                <w:bCs/>
              </w:rPr>
              <w:t xml:space="preserve">$27.58B</w:t>
            </w:r>
          </w:p>
        </w:tc>
        <w:tc>
          <w:tcPr/>
          <w:p>
            <w:pPr>
              <w:pStyle w:val="Compact"/>
              <w:jc w:val="right"/>
            </w:pPr>
            <w:r>
              <w:t xml:space="preserve">$22.39B</w:t>
            </w:r>
          </w:p>
        </w:tc>
        <w:tc>
          <w:tcPr/>
          <w:p>
            <w:pPr>
              <w:pStyle w:val="Compact"/>
              <w:jc w:val="right"/>
            </w:pPr>
            <w:r>
              <w:t xml:space="preserve">+23%</w:t>
            </w:r>
          </w:p>
        </w:tc>
      </w:tr>
      <w:tr>
        <w:tc>
          <w:tcPr/>
          <w:p>
            <w:pPr>
              <w:pStyle w:val="Compact"/>
            </w:pPr>
            <w:r>
              <w:t xml:space="preserve">Gross margin</w:t>
            </w:r>
          </w:p>
        </w:tc>
        <w:tc>
          <w:tcPr/>
          <w:p>
            <w:pPr>
              <w:pStyle w:val="Compact"/>
              <w:jc w:val="right"/>
            </w:pPr>
            <w:r>
              <w:rPr>
                <w:b/>
                <w:bCs/>
              </w:rPr>
              <w:t xml:space="preserve">19.5%</w:t>
            </w:r>
          </w:p>
        </w:tc>
        <w:tc>
          <w:tcPr/>
          <w:p>
            <w:pPr>
              <w:pStyle w:val="Compact"/>
              <w:jc w:val="right"/>
            </w:pPr>
            <w:r>
              <w:t xml:space="preserve">21.1%</w:t>
            </w:r>
          </w:p>
        </w:tc>
        <w:tc>
          <w:tcPr/>
          <w:p>
            <w:pPr>
              <w:pStyle w:val="Compact"/>
              <w:jc w:val="right"/>
            </w:pPr>
            <w:r>
              <w:t xml:space="preserve">-160 bps</w:t>
            </w:r>
          </w:p>
        </w:tc>
      </w:tr>
      <w:tr>
        <w:tc>
          <w:tcPr/>
          <w:p>
            <w:pPr>
              <w:pStyle w:val="Compact"/>
            </w:pPr>
            <w:r>
              <w:t xml:space="preserve">Operating income</w:t>
            </w:r>
          </w:p>
        </w:tc>
        <w:tc>
          <w:tcPr/>
          <w:p>
            <w:pPr>
              <w:pStyle w:val="Compact"/>
              <w:jc w:val="right"/>
            </w:pPr>
            <w:r>
              <w:rPr>
                <w:b/>
                <w:bCs/>
              </w:rPr>
              <w:t xml:space="preserve">$1.50B</w:t>
            </w:r>
          </w:p>
        </w:tc>
        <w:tc>
          <w:tcPr/>
          <w:p>
            <w:pPr>
              <w:pStyle w:val="Compact"/>
              <w:jc w:val="right"/>
            </w:pPr>
            <w:r>
              <w:t xml:space="preserve">$0.94B</w:t>
            </w:r>
          </w:p>
        </w:tc>
        <w:tc>
          <w:tcPr/>
          <w:p>
            <w:pPr>
              <w:pStyle w:val="Compact"/>
              <w:jc w:val="right"/>
            </w:pPr>
            <w:r>
              <w:t xml:space="preserve">+60%</w:t>
            </w:r>
          </w:p>
        </w:tc>
      </w:tr>
      <w:tr>
        <w:tc>
          <w:tcPr/>
          <w:p>
            <w:pPr>
              <w:pStyle w:val="Compact"/>
            </w:pPr>
            <w:r>
              <w:t xml:space="preserve">Operating margin</w:t>
            </w:r>
          </w:p>
        </w:tc>
        <w:tc>
          <w:tcPr/>
          <w:p>
            <w:pPr>
              <w:pStyle w:val="Compact"/>
              <w:jc w:val="right"/>
            </w:pPr>
            <w:r>
              <w:rPr>
                <w:b/>
                <w:bCs/>
              </w:rPr>
              <w:t xml:space="preserve">5.4%</w:t>
            </w:r>
          </w:p>
        </w:tc>
        <w:tc>
          <w:tcPr/>
          <w:p>
            <w:pPr>
              <w:pStyle w:val="Compact"/>
              <w:jc w:val="right"/>
            </w:pPr>
            <w:r>
              <w:t xml:space="preserve">4.2%</w:t>
            </w:r>
          </w:p>
        </w:tc>
        <w:tc>
          <w:tcPr/>
          <w:p>
            <w:pPr>
              <w:pStyle w:val="Compact"/>
              <w:jc w:val="right"/>
            </w:pPr>
            <w:r>
              <w:t xml:space="preserve">+120 bps</w:t>
            </w:r>
          </w:p>
        </w:tc>
      </w:tr>
      <w:tr>
        <w:tc>
          <w:tcPr/>
          <w:p>
            <w:pPr>
              <w:pStyle w:val="Compact"/>
            </w:pPr>
            <w:r>
              <w:t xml:space="preserve">GAAP EPS</w:t>
            </w:r>
          </w:p>
        </w:tc>
        <w:tc>
          <w:tcPr/>
          <w:p>
            <w:pPr>
              <w:pStyle w:val="Compact"/>
              <w:jc w:val="right"/>
            </w:pPr>
            <w:r>
              <w:rPr>
                <w:b/>
                <w:bCs/>
              </w:rPr>
              <w:t xml:space="preserve">$0.36</w:t>
            </w:r>
          </w:p>
        </w:tc>
        <w:tc>
          <w:tcPr/>
          <w:p>
            <w:pPr>
              <w:pStyle w:val="Compact"/>
              <w:jc w:val="right"/>
            </w:pPr>
            <w:r>
              <w:t xml:space="preserve">$0.13</w:t>
            </w:r>
          </w:p>
        </w:tc>
        <w:tc>
          <w:tcPr/>
          <w:p>
            <w:pPr>
              <w:pStyle w:val="Compact"/>
              <w:jc w:val="right"/>
            </w:pPr>
            <w:r>
              <w:t xml:space="preserve">+177%</w:t>
            </w:r>
          </w:p>
        </w:tc>
      </w:tr>
      <w:tr>
        <w:tc>
          <w:tcPr/>
          <w:p>
            <w:pPr>
              <w:pStyle w:val="Compact"/>
            </w:pPr>
            <w:r>
              <w:t xml:space="preserve">Non-GAAP EPS</w:t>
            </w:r>
          </w:p>
        </w:tc>
        <w:tc>
          <w:tcPr/>
          <w:p>
            <w:pPr>
              <w:pStyle w:val="Compact"/>
              <w:jc w:val="right"/>
            </w:pPr>
            <w:r>
              <w:rPr>
                <w:b/>
                <w:bCs/>
              </w:rPr>
              <w:t xml:space="preserve">$0.55</w:t>
            </w:r>
          </w:p>
        </w:tc>
        <w:tc>
          <w:tcPr/>
          <w:p>
            <w:pPr>
              <w:pStyle w:val="Compact"/>
              <w:jc w:val="right"/>
            </w:pPr>
            <w:r>
              <w:t xml:space="preserve">$0.41</w:t>
            </w:r>
          </w:p>
        </w:tc>
        <w:tc>
          <w:tcPr/>
          <w:p>
            <w:pPr>
              <w:pStyle w:val="Compact"/>
              <w:jc w:val="right"/>
            </w:pPr>
            <w:r>
              <w:t xml:space="preserve">+34%</w:t>
            </w:r>
          </w:p>
        </w:tc>
      </w:tr>
      <w:tr>
        <w:tc>
          <w:tcPr/>
          <w:p>
            <w:pPr>
              <w:pStyle w:val="Compact"/>
            </w:pPr>
            <w:r>
              <w:t xml:space="preserve">Operating cash flow</w:t>
            </w:r>
          </w:p>
        </w:tc>
        <w:tc>
          <w:tcPr/>
          <w:p>
            <w:pPr>
              <w:pStyle w:val="Compact"/>
              <w:jc w:val="right"/>
            </w:pPr>
            <w:r>
              <w:rPr>
                <w:b/>
                <w:bCs/>
              </w:rPr>
              <w:t xml:space="preserve">$3.45B</w:t>
            </w:r>
          </w:p>
        </w:tc>
        <w:tc>
          <w:tcPr/>
          <w:p>
            <w:pPr>
              <w:pStyle w:val="Compact"/>
              <w:jc w:val="right"/>
            </w:pPr>
            <w:r>
              <w:t xml:space="preserve">$3.94B</w:t>
            </w:r>
          </w:p>
        </w:tc>
        <w:tc>
          <w:tcPr/>
          <w:p>
            <w:pPr>
              <w:pStyle w:val="Compact"/>
              <w:jc w:val="right"/>
            </w:pPr>
            <w:r>
              <w:t xml:space="preserve">-13%</w:t>
            </w:r>
          </w:p>
        </w:tc>
      </w:tr>
      <w:tr>
        <w:tc>
          <w:tcPr/>
          <w:p>
            <w:pPr>
              <w:pStyle w:val="Compact"/>
            </w:pPr>
            <w:r>
              <w:t xml:space="preserve">Capital expenditures</w:t>
            </w:r>
          </w:p>
        </w:tc>
        <w:tc>
          <w:tcPr/>
          <w:p>
            <w:pPr>
              <w:pStyle w:val="Compact"/>
              <w:jc w:val="right"/>
            </w:pPr>
            <w:r>
              <w:rPr>
                <w:b/>
                <w:bCs/>
              </w:rPr>
              <w:t xml:space="preserve">$6.70B</w:t>
            </w:r>
          </w:p>
        </w:tc>
        <w:tc>
          <w:tcPr/>
          <w:p>
            <w:pPr>
              <w:pStyle w:val="Compact"/>
              <w:jc w:val="right"/>
            </w:pPr>
            <w:r>
              <w:t xml:space="preserve">$2.49B</w:t>
            </w:r>
          </w:p>
        </w:tc>
        <w:tc>
          <w:tcPr/>
          <w:p>
            <w:pPr>
              <w:pStyle w:val="Compact"/>
              <w:jc w:val="right"/>
            </w:pPr>
            <w:r>
              <w:t xml:space="preserve">+169%</w:t>
            </w:r>
          </w:p>
        </w:tc>
      </w:tr>
      <w:tr>
        <w:tc>
          <w:tcPr/>
          <w:p>
            <w:pPr>
              <w:pStyle w:val="Compact"/>
            </w:pPr>
            <w:r>
              <w:rPr>
                <w:b/>
                <w:bCs/>
              </w:rPr>
              <w:t xml:space="preserve">Free cash flow</w:t>
            </w:r>
          </w:p>
        </w:tc>
        <w:tc>
          <w:tcPr/>
          <w:p>
            <w:pPr>
              <w:pStyle w:val="Compact"/>
              <w:jc w:val="right"/>
            </w:pPr>
            <w:r>
              <w:rPr>
                <w:b/>
                <w:bCs/>
              </w:rPr>
              <w:t xml:space="preserve">-$3.25B</w:t>
            </w:r>
          </w:p>
        </w:tc>
        <w:tc>
          <w:tcPr/>
          <w:p>
            <w:pPr>
              <w:pStyle w:val="Compact"/>
              <w:jc w:val="right"/>
            </w:pPr>
            <w:r>
              <w:t xml:space="preserve">+$1.44B</w:t>
            </w:r>
          </w:p>
        </w:tc>
        <w:tc>
          <w:tcPr/>
          <w:p>
            <w:pPr>
              <w:pStyle w:val="Compact"/>
              <w:jc w:val="right"/>
            </w:pPr>
            <w:r>
              <w:t xml:space="preserve">Negative swing</w:t>
            </w:r>
          </w:p>
        </w:tc>
      </w:tr>
      <w:tr>
        <w:tc>
          <w:tcPr/>
          <w:p>
            <w:pPr>
              <w:pStyle w:val="Compact"/>
            </w:pPr>
            <w:r>
              <w:t xml:space="preserve">Cash and investments</w:t>
            </w:r>
          </w:p>
        </w:tc>
        <w:tc>
          <w:tcPr/>
          <w:p>
            <w:pPr>
              <w:pStyle w:val="Compact"/>
              <w:jc w:val="right"/>
            </w:pPr>
            <w:r>
              <w:rPr>
                <w:b/>
                <w:bCs/>
              </w:rPr>
              <w:t xml:space="preserve">$41.00B</w:t>
            </w:r>
          </w:p>
        </w:tc>
        <w:tc>
          <w:tcPr/>
          <w:p>
            <w:pPr>
              <w:pStyle w:val="Compact"/>
              <w:jc w:val="right"/>
            </w:pPr>
            <w:r>
              <w:t xml:space="preserve">$44.74B</w:t>
            </w:r>
          </w:p>
        </w:tc>
        <w:tc>
          <w:tcPr/>
          <w:p>
            <w:pPr>
              <w:pStyle w:val="Compact"/>
              <w:jc w:val="right"/>
            </w:pPr>
            <w:r>
              <w:t xml:space="preserve">-8%</w:t>
            </w:r>
          </w:p>
        </w:tc>
      </w:tr>
    </w:tbl>
    <w:p>
      <w:pPr>
        <w:pStyle w:val="BodyText"/>
      </w:pPr>
      <w:r>
        <w:t xml:space="preserve">The median estimates are similar:</w:t>
      </w:r>
      <w:r>
        <w:t xml:space="preserve"> </w:t>
      </w:r>
      <m:oMath>
        <m:r>
          <m:t>27.97</m:t>
        </m:r>
        <m:r>
          <m:t>b</m:t>
        </m:r>
        <m:r>
          <m:t>i</m:t>
        </m:r>
        <m:r>
          <m:t>l</m:t>
        </m:r>
        <m:r>
          <m:t>l</m:t>
        </m:r>
        <m:r>
          <m:t>i</m:t>
        </m:r>
        <m:r>
          <m:t>o</m:t>
        </m:r>
        <m:r>
          <m:t>n</m:t>
        </m:r>
        <m:r>
          <m:rPr>
            <m:sty m:val="p"/>
          </m:rPr>
          <m:t>*</m:t>
        </m:r>
        <m:r>
          <m:rPr>
            <m:sty m:val="p"/>
          </m:rPr>
          <m:t>*</m:t>
        </m:r>
        <m:r>
          <m:t>o</m:t>
        </m:r>
        <m:r>
          <m:t>f</m:t>
        </m:r>
        <m:r>
          <m:t>r</m:t>
        </m:r>
        <m:r>
          <m:t>e</m:t>
        </m:r>
        <m:r>
          <m:t>v</m:t>
        </m:r>
        <m:r>
          <m:t>e</m:t>
        </m:r>
        <m:r>
          <m:t>n</m:t>
        </m:r>
        <m:r>
          <m:t>u</m:t>
        </m:r>
        <m:r>
          <m:t>e</m:t>
        </m:r>
        <m:r>
          <m:rPr>
            <m:sty m:val="p"/>
          </m:rPr>
          <m:t>,</m:t>
        </m:r>
        <m:r>
          <m:rPr>
            <m:sty m:val="p"/>
          </m:rPr>
          <m:t>*</m:t>
        </m:r>
        <m:r>
          <m:rPr>
            <m:sty m:val="p"/>
          </m:rPr>
          <m:t>*</m:t>
        </m:r>
        <m:r>
          <m:t>19.5</m:t>
        </m:r>
      </m:oMath>
      <w:r>
        <w:rPr>
          <w:b/>
          <w:bCs/>
        </w:rPr>
        <w:t xml:space="preserve">0.55</w:t>
      </w:r>
      <w:r>
        <w:t xml:space="preserve"> </w:t>
      </w:r>
      <w:r>
        <w:t xml:space="preserve">non-GAAP EPS and approximately</w:t>
      </w:r>
      <w:r>
        <w:t xml:space="preserve"> </w:t>
      </w:r>
      <w:r>
        <w:rPr>
          <w:b/>
          <w:bCs/>
        </w:rPr>
        <w:t xml:space="preserve">-$3.0 billion</w:t>
      </w:r>
      <w:r>
        <w:t xml:space="preserve"> </w:t>
      </w:r>
      <w:r>
        <w:t xml:space="preserve">of free cash flow. (</w:t>
      </w:r>
      <w:hyperlink r:id="rId10">
        <w:r>
          <w:rPr>
            <w:rStyle w:val="Hyperlink"/>
          </w:rPr>
          <w:t xml:space="preserve">ir.tesla.com</w:t>
        </w:r>
      </w:hyperlink>
      <w:r>
        <w:t xml:space="preserve">)</w:t>
      </w:r>
    </w:p>
    <w:p>
      <w:r>
        <w:pict>
          <v:rect style="width:0;height:1.5pt" o:hralign="center" o:hrstd="t" o:hr="t"/>
        </w:pict>
      </w:r>
    </w:p>
    <w:bookmarkEnd w:id="12"/>
    <w:bookmarkStart w:id="15" w:name="Xd095d02e01f1320bff02d8525950e617bae54ff"/>
    <w:p>
      <w:pPr>
        <w:pStyle w:val="Heading2"/>
      </w:pPr>
      <w:r>
        <w:t xml:space="preserve">The operating setup is strong—but not uniformly so</w:t>
      </w:r>
    </w:p>
    <w:bookmarkStart w:id="13" w:name="X31e5ff7bf4db6c875362adc5afd1db757ee084e"/>
    <w:p>
      <w:pPr>
        <w:pStyle w:val="Heading3"/>
      </w:pPr>
      <w:r>
        <w:t xml:space="preserve">Vehicle deliveries were far above expectations</w:t>
      </w:r>
    </w:p>
    <w:p>
      <w:pPr>
        <w:pStyle w:val="FirstParagraph"/>
      </w:pPr>
      <w:r>
        <w:t xml:space="preserve">Tesla delivered</w:t>
      </w:r>
      <w:r>
        <w:t xml:space="preserve"> </w:t>
      </w:r>
      <w:r>
        <w:rPr>
          <w:b/>
          <w:bCs/>
        </w:rPr>
        <w:t xml:space="preserve">480,126 vehicles</w:t>
      </w:r>
      <w:r>
        <w:t xml:space="preserve">, compared with the company-compiled pre-quarter consensus of</w:t>
      </w:r>
      <w:r>
        <w:t xml:space="preserve"> </w:t>
      </w:r>
      <w:r>
        <w:rPr>
          <w:b/>
          <w:bCs/>
        </w:rPr>
        <w:t xml:space="preserve">406,024</w:t>
      </w:r>
      <w:r>
        <w:t xml:space="preserve">. Deliveries increased approximately</w:t>
      </w:r>
      <w:r>
        <w:t xml:space="preserve"> </w:t>
      </w:r>
      <w:r>
        <w:rPr>
          <w:b/>
          <w:bCs/>
        </w:rPr>
        <w:t xml:space="preserve">34% sequentially</w:t>
      </w:r>
      <w:r>
        <w:t xml:space="preserve"> </w:t>
      </w:r>
      <w:r>
        <w:t xml:space="preserve">and</w:t>
      </w:r>
      <w:r>
        <w:t xml:space="preserve"> </w:t>
      </w:r>
      <w:r>
        <w:rPr>
          <w:b/>
          <w:bCs/>
        </w:rPr>
        <w:t xml:space="preserve">25% year over year</w:t>
      </w:r>
      <w:r>
        <w:t xml:space="preserve">. Model 3/Y represented 467,762 units, or more than 97% of deliveries. (</w:t>
      </w:r>
      <w:hyperlink r:id="rId9">
        <w:r>
          <w:rPr>
            <w:rStyle w:val="Hyperlink"/>
          </w:rPr>
          <w:t xml:space="preserve">ir.tesla.com</w:t>
        </w:r>
      </w:hyperlink>
      <w:r>
        <w:t xml:space="preserve">)</w:t>
      </w:r>
    </w:p>
    <w:p>
      <w:pPr>
        <w:pStyle w:val="BodyText"/>
      </w:pPr>
      <w:r>
        <w:t xml:space="preserve">Tesla also delivered roughly</w:t>
      </w:r>
      <w:r>
        <w:t xml:space="preserve"> </w:t>
      </w:r>
      <w:r>
        <w:rPr>
          <w:b/>
          <w:bCs/>
        </w:rPr>
        <w:t xml:space="preserve">28,400 more vehicles than it produced</w:t>
      </w:r>
      <w:r>
        <w:t xml:space="preserve"> </w:t>
      </w:r>
      <w:r>
        <w:t xml:space="preserve">during Q2. That is directionally positive for working capital and suggests the company drew down part of the inventory accumulated during Q1, when production exceeded deliveries by about 50,000 units.</w:t>
      </w:r>
    </w:p>
    <w:p>
      <w:pPr>
        <w:pStyle w:val="BodyText"/>
      </w:pPr>
      <w:r>
        <w:t xml:space="preserve">The caveat is mix. “Other Models” deliveries fell from 16,130 in Q1 to 12,364 in Q2, while the quarter’s growth came overwhelmingly from Model 3/Y. A simple automotive-revenue-per-delivery calculation using consensus estimates falls from about</w:t>
      </w:r>
      <w:r>
        <w:t xml:space="preserve"> </w:t>
      </w:r>
      <w:r>
        <w:rPr>
          <w:b/>
          <w:bCs/>
        </w:rPr>
        <w:t xml:space="preserve">$45,300 in Q1 to $41,800 in Q2</w:t>
      </w:r>
      <w:r>
        <w:t xml:space="preserve">. That ratio is imperfect because automotive revenue includes leasing and regulatory credits, but it suggests that mix, pricing or incentives could offset some of the volume benefit.</w:t>
      </w:r>
    </w:p>
    <w:bookmarkEnd w:id="13"/>
    <w:bookmarkStart w:id="14" w:name="X45216c7db38d4571c5446ba88be3cb779baf869"/>
    <w:p>
      <w:pPr>
        <w:pStyle w:val="Heading3"/>
      </w:pPr>
      <w:r>
        <w:t xml:space="preserve">Energy recovered, but slightly missed deployment expectations</w:t>
      </w:r>
    </w:p>
    <w:p>
      <w:pPr>
        <w:pStyle w:val="FirstParagraph"/>
      </w:pPr>
      <w:r>
        <w:t xml:space="preserve">Tesla deployed</w:t>
      </w:r>
      <w:r>
        <w:t xml:space="preserve"> </w:t>
      </w:r>
      <w:r>
        <w:rPr>
          <w:b/>
          <w:bCs/>
        </w:rPr>
        <w:t xml:space="preserve">13.5 GWh</w:t>
      </w:r>
      <w:r>
        <w:t xml:space="preserve"> </w:t>
      </w:r>
      <w:r>
        <w:t xml:space="preserve">of energy storage, up approximately</w:t>
      </w:r>
      <w:r>
        <w:t xml:space="preserve"> </w:t>
      </w:r>
      <w:r>
        <w:rPr>
          <w:b/>
          <w:bCs/>
        </w:rPr>
        <w:t xml:space="preserve">53% sequentially</w:t>
      </w:r>
      <w:r>
        <w:t xml:space="preserve"> </w:t>
      </w:r>
      <w:r>
        <w:t xml:space="preserve">and</w:t>
      </w:r>
      <w:r>
        <w:t xml:space="preserve"> </w:t>
      </w:r>
      <w:r>
        <w:rPr>
          <w:b/>
          <w:bCs/>
        </w:rPr>
        <w:t xml:space="preserve">41% year over year</w:t>
      </w:r>
      <w:r>
        <w:t xml:space="preserve">. That was modestly below the pre-quarter consensus of 13.8 GWh, but it should still drive a substantial rebound from Q1’s weak energy revenue. (</w:t>
      </w:r>
      <w:hyperlink r:id="rId9">
        <w:r>
          <w:rPr>
            <w:rStyle w:val="Hyperlink"/>
          </w:rPr>
          <w:t xml:space="preserve">ir.tesla.com</w:t>
        </w:r>
      </w:hyperlink>
      <w:r>
        <w:t xml:space="preserve">)</w:t>
      </w:r>
    </w:p>
    <w:p>
      <w:pPr>
        <w:pStyle w:val="BodyText"/>
      </w:pPr>
      <w:r>
        <w:t xml:space="preserve">Energy margins deserve close attention. Q1’s exceptionally strong energy profitability included more than $250 million of favorable one-time tariff-related items, and management cautioned that normalized margins could compress because of competition and the cost of China-sourced battery cells. A strong revenue quarter with meaningfully lower energy gross margin would therefore not be surprising.</w:t>
      </w:r>
    </w:p>
    <w:p>
      <w:r>
        <w:pict>
          <v:rect style="width:0;height:1.5pt" o:hralign="center" o:hrstd="t" o:hr="t"/>
        </w:pict>
      </w:r>
    </w:p>
    <w:bookmarkEnd w:id="14"/>
    <w:bookmarkEnd w:id="15"/>
    <w:bookmarkStart w:id="16" w:name="X45c22c0a3b9274a3cc06857c639deae0f581b4f"/>
    <w:p>
      <w:pPr>
        <w:pStyle w:val="Heading2"/>
      </w:pPr>
      <w:r>
        <w:t xml:space="preserve">The five issues that should determine the reaction</w:t>
      </w:r>
    </w:p>
    <w:bookmarkEnd w:id="16"/>
    <w:bookmarkStart w:id="18" w:name="Xab02d24991e90c607f03c065999ab3c794c65d1"/>
    <w:p>
      <w:pPr>
        <w:pStyle w:val="Heading2"/>
      </w:pPr>
      <w:r>
        <w:t xml:space="preserve">1. Automotive gross margin: the most important reported number</w:t>
      </w:r>
    </w:p>
    <w:p>
      <w:pPr>
        <w:pStyle w:val="FirstParagraph"/>
      </w:pPr>
      <w:r>
        <w:t xml:space="preserve">Q1 automotive gross margin excluding regulatory credits reached</w:t>
      </w:r>
      <w:r>
        <w:t xml:space="preserve"> </w:t>
      </w:r>
      <w:r>
        <w:rPr>
          <w:b/>
          <w:bCs/>
        </w:rPr>
        <w:t xml:space="preserve">19.2%</w:t>
      </w:r>
      <w:r>
        <w:t xml:space="preserve">, but the result benefited from approximately $230 million of warranty true-ups plus tariff relief. Tesla’s total Q1 gross margin was 21.1%; consensus expects that to fall to 19.5% in Q2 despite much higher volume. (</w:t>
      </w:r>
      <w:hyperlink r:id="rId17">
        <w:r>
          <w:rPr>
            <w:rStyle w:val="Hyperlink"/>
          </w:rPr>
          <w:t xml:space="preserve">ir.tesla.com</w:t>
        </w:r>
      </w:hyperlink>
      <w:r>
        <w:t xml:space="preserve">)</w:t>
      </w:r>
    </w:p>
    <w:p>
      <w:pPr>
        <w:pStyle w:val="BodyText"/>
      </w:pPr>
      <w:r>
        <w:t xml:space="preserve">What investors should examine:</w:t>
      </w:r>
    </w:p>
    <w:p>
      <w:pPr>
        <w:pStyle w:val="Compact"/>
        <w:numPr>
          <w:ilvl w:val="0"/>
          <w:numId w:val="1002"/>
        </w:numPr>
      </w:pPr>
      <w:r>
        <w:t xml:space="preserve">Automotive gross margin excluding regulatory credits.</w:t>
      </w:r>
    </w:p>
    <w:p>
      <w:pPr>
        <w:pStyle w:val="Compact"/>
        <w:numPr>
          <w:ilvl w:val="0"/>
          <w:numId w:val="1002"/>
        </w:numPr>
      </w:pPr>
      <w:r>
        <w:t xml:space="preserve">Revenue and cost per vehicle.</w:t>
      </w:r>
    </w:p>
    <w:p>
      <w:pPr>
        <w:pStyle w:val="Compact"/>
        <w:numPr>
          <w:ilvl w:val="0"/>
          <w:numId w:val="1002"/>
        </w:numPr>
      </w:pPr>
      <w:r>
        <w:t xml:space="preserve">Regulatory-credit revenue.</w:t>
      </w:r>
    </w:p>
    <w:p>
      <w:pPr>
        <w:pStyle w:val="Compact"/>
        <w:numPr>
          <w:ilvl w:val="0"/>
          <w:numId w:val="1002"/>
        </w:numPr>
      </w:pPr>
      <w:r>
        <w:t xml:space="preserve">Warranty adjustments and other one-time benefits.</w:t>
      </w:r>
    </w:p>
    <w:p>
      <w:pPr>
        <w:pStyle w:val="Compact"/>
        <w:numPr>
          <w:ilvl w:val="0"/>
          <w:numId w:val="1002"/>
        </w:numPr>
      </w:pPr>
      <w:r>
        <w:t xml:space="preserve">Interest-rate subvention and customer-incentive costs.</w:t>
      </w:r>
    </w:p>
    <w:p>
      <w:pPr>
        <w:pStyle w:val="Compact"/>
        <w:numPr>
          <w:ilvl w:val="0"/>
          <w:numId w:val="1002"/>
        </w:numPr>
      </w:pPr>
      <w:r>
        <w:t xml:space="preserve">Whether inventory reduction helped or hurt unit economics.</w:t>
      </w:r>
    </w:p>
    <w:p>
      <w:pPr>
        <w:pStyle w:val="Compact"/>
        <w:numPr>
          <w:ilvl w:val="0"/>
          <w:numId w:val="1002"/>
        </w:numPr>
      </w:pPr>
      <w:r>
        <w:t xml:space="preserve">Management’s view of margins in the second half.</w:t>
      </w:r>
    </w:p>
    <w:p>
      <w:pPr>
        <w:pStyle w:val="FirstParagraph"/>
      </w:pPr>
      <w:r>
        <w:rPr>
          <w:b/>
          <w:bCs/>
        </w:rPr>
        <w:t xml:space="preserve">Positive interpretation:</w:t>
      </w:r>
      <w:r>
        <w:t xml:space="preserve"> </w:t>
      </w:r>
      <w:r>
        <w:t xml:space="preserve">Ex-credit auto margin remains around 18%–19% without significant one-time benefits.</w:t>
      </w:r>
    </w:p>
    <w:p>
      <w:pPr>
        <w:pStyle w:val="BodyText"/>
      </w:pPr>
      <w:r>
        <w:rPr>
          <w:b/>
          <w:bCs/>
        </w:rPr>
        <w:t xml:space="preserve">Negative interpretation:</w:t>
      </w:r>
      <w:r>
        <w:t xml:space="preserve"> </w:t>
      </w:r>
      <w:r>
        <w:t xml:space="preserve">Deliveries beat dramatically, but price cuts, financing incentives and lower-end Model 3/Y mix push normalized auto margin back toward the mid-teens.</w:t>
      </w:r>
    </w:p>
    <w:p>
      <w:r>
        <w:pict>
          <v:rect style="width:0;height:1.5pt" o:hralign="center" o:hrstd="t" o:hr="t"/>
        </w:pict>
      </w:r>
    </w:p>
    <w:bookmarkEnd w:id="18"/>
    <w:bookmarkStart w:id="20" w:name="X97d1a05f38bad4e714f207537243031c78fd11f"/>
    <w:p>
      <w:pPr>
        <w:pStyle w:val="Heading2"/>
      </w:pPr>
      <w:r>
        <w:t xml:space="preserve">2. Free cash flow and the cost of the AI strategy</w:t>
      </w:r>
    </w:p>
    <w:p>
      <w:pPr>
        <w:pStyle w:val="FirstParagraph"/>
      </w:pPr>
      <w:r>
        <w:t xml:space="preserve">At the Q1 call, management raised expected 2026 capital expenditures to</w:t>
      </w:r>
      <w:r>
        <w:t xml:space="preserve"> </w:t>
      </w:r>
      <w:r>
        <w:rPr>
          <w:b/>
          <w:bCs/>
        </w:rPr>
        <w:t xml:space="preserve">more than</w:t>
      </w:r>
      <w:r>
        <w:rPr>
          <w:b/>
          <w:bCs/>
        </w:rPr>
        <w:t xml:space="preserve"> </w:t>
      </w:r>
      <m:oMath>
        <m:r>
          <m:t>25</m:t>
        </m:r>
        <m:r>
          <m:t>b</m:t>
        </m:r>
        <m:r>
          <m:t>i</m:t>
        </m:r>
        <m:r>
          <m:t>l</m:t>
        </m:r>
        <m:r>
          <m:t>l</m:t>
        </m:r>
        <m:r>
          <m:t>i</m:t>
        </m:r>
        <m:r>
          <m:t>o</m:t>
        </m:r>
        <m:r>
          <m:t>n</m:t>
        </m:r>
        <m:r>
          <m:rPr>
            <m:sty m:val="p"/>
          </m:rPr>
          <m:t>*</m:t>
        </m:r>
        <m:r>
          <m:rPr>
            <m:sty m:val="p"/>
          </m:rPr>
          <m:t>*</m:t>
        </m:r>
        <m:r>
          <m:rPr>
            <m:sty m:val="p"/>
          </m:rPr>
          <m:t>,</m:t>
        </m:r>
        <m:r>
          <m:t>d</m:t>
        </m:r>
        <m:r>
          <m:t>r</m:t>
        </m:r>
        <m:r>
          <m:t>i</m:t>
        </m:r>
        <m:r>
          <m:t>v</m:t>
        </m:r>
        <m:r>
          <m:t>e</m:t>
        </m:r>
        <m:r>
          <m:t>n</m:t>
        </m:r>
        <m:r>
          <m:t>b</m:t>
        </m:r>
        <m:r>
          <m:t>y</m:t>
        </m:r>
        <m:r>
          <m:t>A</m:t>
        </m:r>
        <m:r>
          <m:t>I</m:t>
        </m:r>
        <m:r>
          <m:t>c</m:t>
        </m:r>
        <m:r>
          <m:t>o</m:t>
        </m:r>
        <m:r>
          <m:t>m</m:t>
        </m:r>
        <m:r>
          <m:t>p</m:t>
        </m:r>
        <m:r>
          <m:t>u</m:t>
        </m:r>
        <m:r>
          <m:t>t</m:t>
        </m:r>
        <m:r>
          <m:t>e</m:t>
        </m:r>
        <m:r>
          <m:rPr>
            <m:sty m:val="p"/>
          </m:rPr>
          <m:t>,</m:t>
        </m:r>
        <m:r>
          <m:t>f</m:t>
        </m:r>
        <m:r>
          <m:t>a</m:t>
        </m:r>
        <m:r>
          <m:t>c</m:t>
        </m:r>
        <m:r>
          <m:t>t</m:t>
        </m:r>
        <m:r>
          <m:t>o</m:t>
        </m:r>
        <m:r>
          <m:t>r</m:t>
        </m:r>
        <m:r>
          <m:t>i</m:t>
        </m:r>
        <m:r>
          <m:t>e</m:t>
        </m:r>
        <m:r>
          <m:t>s</m:t>
        </m:r>
        <m:r>
          <m:rPr>
            <m:sty m:val="p"/>
          </m:rPr>
          <m:t>,</m:t>
        </m:r>
        <m:r>
          <m:t>s</m:t>
        </m:r>
        <m:r>
          <m:t>e</m:t>
        </m:r>
        <m:r>
          <m:t>m</m:t>
        </m:r>
        <m:r>
          <m:t>i</m:t>
        </m:r>
        <m:r>
          <m:t>c</m:t>
        </m:r>
        <m:r>
          <m:t>o</m:t>
        </m:r>
        <m:r>
          <m:t>n</m:t>
        </m:r>
        <m:r>
          <m:t>d</m:t>
        </m:r>
        <m:r>
          <m:t>u</m:t>
        </m:r>
        <m:r>
          <m:t>c</m:t>
        </m:r>
        <m:r>
          <m:t>t</m:t>
        </m:r>
        <m:r>
          <m:t>o</m:t>
        </m:r>
        <m:r>
          <m:t>r</m:t>
        </m:r>
        <m:r>
          <m:t>i</m:t>
        </m:r>
        <m:r>
          <m:t>n</m:t>
        </m:r>
        <m:r>
          <m:t>i</m:t>
        </m:r>
        <m:r>
          <m:t>t</m:t>
        </m:r>
        <m:r>
          <m:t>i</m:t>
        </m:r>
        <m:r>
          <m:t>a</m:t>
        </m:r>
        <m:r>
          <m:t>t</m:t>
        </m:r>
        <m:r>
          <m:t>i</m:t>
        </m:r>
        <m:r>
          <m:t>v</m:t>
        </m:r>
        <m:r>
          <m:t>e</m:t>
        </m:r>
        <m:r>
          <m:t>s</m:t>
        </m:r>
        <m:r>
          <m:rPr>
            <m:sty m:val="p"/>
          </m:rPr>
          <m:t>,</m:t>
        </m:r>
        <m:r>
          <m:t>R</m:t>
        </m:r>
        <m:r>
          <m:t>o</m:t>
        </m:r>
        <m:r>
          <m:t>b</m:t>
        </m:r>
        <m:r>
          <m:t>o</m:t>
        </m:r>
        <m:r>
          <m:t>t</m:t>
        </m:r>
        <m:r>
          <m:t>a</m:t>
        </m:r>
        <m:r>
          <m:t>x</m:t>
        </m:r>
        <m:r>
          <m:t>i</m:t>
        </m:r>
        <m:r>
          <m:t>i</m:t>
        </m:r>
        <m:r>
          <m:t>n</m:t>
        </m:r>
        <m:r>
          <m:t>f</m:t>
        </m:r>
        <m:r>
          <m:t>r</m:t>
        </m:r>
        <m:r>
          <m:t>a</m:t>
        </m:r>
        <m:r>
          <m:t>s</m:t>
        </m:r>
        <m:r>
          <m:t>t</m:t>
        </m:r>
        <m:r>
          <m:t>r</m:t>
        </m:r>
        <m:r>
          <m:t>u</m:t>
        </m:r>
        <m:r>
          <m:t>c</m:t>
        </m:r>
        <m:r>
          <m:t>t</m:t>
        </m:r>
        <m:r>
          <m:t>u</m:t>
        </m:r>
        <m:r>
          <m:t>r</m:t>
        </m:r>
        <m:r>
          <m:t>e</m:t>
        </m:r>
        <m:r>
          <m:t>a</m:t>
        </m:r>
        <m:r>
          <m:t>n</m:t>
        </m:r>
        <m:r>
          <m:t>d</m:t>
        </m:r>
        <m:r>
          <m:t>n</m:t>
        </m:r>
        <m:r>
          <m:t>e</m:t>
        </m:r>
        <m:r>
          <m:t>w</m:t>
        </m:r>
        <m:r>
          <m:t>p</m:t>
        </m:r>
        <m:r>
          <m:t>r</m:t>
        </m:r>
        <m:r>
          <m:t>o</m:t>
        </m:r>
        <m:r>
          <m:t>d</m:t>
        </m:r>
        <m:r>
          <m:t>u</m:t>
        </m:r>
        <m:r>
          <m:t>c</m:t>
        </m:r>
        <m:r>
          <m:t>t</m:t>
        </m:r>
        <m:r>
          <m:t>s</m:t>
        </m:r>
        <m:r>
          <m:rPr>
            <m:sty m:val="p"/>
          </m:rPr>
          <m:t>.</m:t>
        </m:r>
        <m:r>
          <m:t>T</m:t>
        </m:r>
        <m:r>
          <m:t>e</m:t>
        </m:r>
        <m:r>
          <m:t>s</m:t>
        </m:r>
        <m:r>
          <m:t>l</m:t>
        </m:r>
        <m:r>
          <m:t>a</m:t>
        </m:r>
        <m:r>
          <m:t>a</m:t>
        </m:r>
        <m:r>
          <m:t>l</m:t>
        </m:r>
        <m:r>
          <m:t>s</m:t>
        </m:r>
        <m:r>
          <m:t>o</m:t>
        </m:r>
        <m:r>
          <m:t>w</m:t>
        </m:r>
        <m:r>
          <m:t>a</m:t>
        </m:r>
        <m:r>
          <m:t>r</m:t>
        </m:r>
        <m:r>
          <m:t>n</m:t>
        </m:r>
        <m:r>
          <m:t>e</m:t>
        </m:r>
        <m:r>
          <m:t>d</m:t>
        </m:r>
        <m:r>
          <m:t>t</m:t>
        </m:r>
        <m:r>
          <m:t>h</m:t>
        </m:r>
        <m:r>
          <m:t>a</m:t>
        </m:r>
        <m:r>
          <m:t>t</m:t>
        </m:r>
        <m:r>
          <m:t>f</m:t>
        </m:r>
        <m:r>
          <m:t>r</m:t>
        </m:r>
        <m:r>
          <m:t>e</m:t>
        </m:r>
        <m:r>
          <m:t>e</m:t>
        </m:r>
        <m:r>
          <m:t>c</m:t>
        </m:r>
        <m:r>
          <m:t>a</m:t>
        </m:r>
        <m:r>
          <m:t>s</m:t>
        </m:r>
        <m:r>
          <m:t>h</m:t>
        </m:r>
        <m:r>
          <m:t>f</m:t>
        </m:r>
        <m:r>
          <m:t>l</m:t>
        </m:r>
        <m:r>
          <m:t>o</m:t>
        </m:r>
        <m:r>
          <m:t>w</m:t>
        </m:r>
        <m:r>
          <m:t>w</m:t>
        </m:r>
        <m:r>
          <m:t>o</m:t>
        </m:r>
        <m:r>
          <m:t>u</m:t>
        </m:r>
        <m:r>
          <m:t>l</m:t>
        </m:r>
        <m:r>
          <m:t>d</m:t>
        </m:r>
        <m:r>
          <m:t>l</m:t>
        </m:r>
        <m:r>
          <m:t>i</m:t>
        </m:r>
        <m:r>
          <m:t>k</m:t>
        </m:r>
        <m:r>
          <m:t>e</m:t>
        </m:r>
        <m:r>
          <m:t>l</m:t>
        </m:r>
        <m:r>
          <m:t>y</m:t>
        </m:r>
        <m:r>
          <m:t>b</m:t>
        </m:r>
        <m:r>
          <m:t>e</m:t>
        </m:r>
        <m:r>
          <m:t>n</m:t>
        </m:r>
        <m:r>
          <m:t>e</m:t>
        </m:r>
        <m:r>
          <m:t>g</m:t>
        </m:r>
        <m:r>
          <m:t>a</m:t>
        </m:r>
        <m:r>
          <m:t>t</m:t>
        </m:r>
        <m:r>
          <m:t>i</m:t>
        </m:r>
        <m:r>
          <m:t>v</m:t>
        </m:r>
        <m:r>
          <m:t>e</m:t>
        </m:r>
        <m:r>
          <m:t>f</m:t>
        </m:r>
        <m:r>
          <m:t>o</m:t>
        </m:r>
        <m:r>
          <m:t>r</m:t>
        </m:r>
        <m:r>
          <m:t>t</m:t>
        </m:r>
        <m:r>
          <m:t>h</m:t>
        </m:r>
        <m:r>
          <m:t>e</m:t>
        </m:r>
        <m:r>
          <m:t>r</m:t>
        </m:r>
        <m:r>
          <m:t>e</m:t>
        </m:r>
        <m:r>
          <m:t>m</m:t>
        </m:r>
        <m:r>
          <m:t>a</m:t>
        </m:r>
        <m:r>
          <m:t>i</m:t>
        </m:r>
        <m:r>
          <m:t>n</m:t>
        </m:r>
        <m:r>
          <m:t>d</m:t>
        </m:r>
        <m:r>
          <m:t>e</m:t>
        </m:r>
        <m:r>
          <m:t>r</m:t>
        </m:r>
        <m:r>
          <m:t>o</m:t>
        </m:r>
        <m:r>
          <m:t>f</m:t>
        </m:r>
        <m:r>
          <m:t>2026</m:t>
        </m:r>
        <m:r>
          <m:rPr>
            <m:sty m:val="p"/>
          </m:rPr>
          <m:t>.</m:t>
        </m:r>
        <m:r>
          <m:t>T</m:t>
        </m:r>
        <m:r>
          <m:t>h</m:t>
        </m:r>
        <m:r>
          <m:t>e</m:t>
        </m:r>
        <m:r>
          <m:t>c</m:t>
        </m:r>
        <m:r>
          <m:t>u</m:t>
        </m:r>
        <m:r>
          <m:t>r</m:t>
        </m:r>
        <m:r>
          <m:t>r</m:t>
        </m:r>
        <m:r>
          <m:t>e</m:t>
        </m:r>
        <m:r>
          <m:t>n</m:t>
        </m:r>
        <m:r>
          <m:t>t</m:t>
        </m:r>
        <m:r>
          <m:t>c</m:t>
        </m:r>
        <m:r>
          <m:t>o</m:t>
        </m:r>
        <m:r>
          <m:t>n</m:t>
        </m:r>
        <m:r>
          <m:t>s</m:t>
        </m:r>
        <m:r>
          <m:t>e</m:t>
        </m:r>
        <m:r>
          <m:t>n</m:t>
        </m:r>
        <m:r>
          <m:t>s</m:t>
        </m:r>
        <m:r>
          <m:t>u</m:t>
        </m:r>
        <m:r>
          <m:t>s</m:t>
        </m:r>
        <m:r>
          <m:t>c</m:t>
        </m:r>
        <m:r>
          <m:t>a</m:t>
        </m:r>
        <m:r>
          <m:t>l</m:t>
        </m:r>
        <m:r>
          <m:t>l</m:t>
        </m:r>
        <m:r>
          <m:t>s</m:t>
        </m:r>
        <m:r>
          <m:t>f</m:t>
        </m:r>
        <m:r>
          <m:t>o</m:t>
        </m:r>
        <m:r>
          <m:t>r</m:t>
        </m:r>
        <m:r>
          <m:rPr>
            <m:sty m:val="p"/>
          </m:rPr>
          <m:t>*</m:t>
        </m:r>
        <m:r>
          <m:rPr>
            <m:sty m:val="p"/>
          </m:rPr>
          <m:t>*</m:t>
        </m:r>
      </m:oMath>
      <w:r>
        <w:rPr>
          <w:b/>
          <w:bCs/>
        </w:rPr>
        <w:t xml:space="preserve">6.7 billion of Q2 capex and a $3.25 billion quarterly cash burn</w:t>
      </w:r>
      <w:r>
        <w:t xml:space="preserve">. (</w:t>
      </w:r>
      <w:hyperlink r:id="rId19">
        <w:r>
          <w:rPr>
            <w:rStyle w:val="Hyperlink"/>
          </w:rPr>
          <w:t xml:space="preserve">sec.gov</w:t>
        </w:r>
      </w:hyperlink>
      <w:r>
        <w:t xml:space="preserve">)</w:t>
      </w:r>
    </w:p>
    <w:p>
      <w:pPr>
        <w:pStyle w:val="BodyText"/>
      </w:pPr>
      <w:r>
        <w:t xml:space="preserve">This creates a new investor debate. Tesla still has substantial liquidity, but it is transitioning from a cash-generative manufacturer into a capital-intensive AI and robotics investment cycle before Robotaxi or Optimus produces material profits.</w:t>
      </w:r>
    </w:p>
    <w:p>
      <w:pPr>
        <w:pStyle w:val="BodyText"/>
      </w:pPr>
      <w:r>
        <w:t xml:space="preserve">Key questions include:</w:t>
      </w:r>
    </w:p>
    <w:p>
      <w:pPr>
        <w:pStyle w:val="Compact"/>
        <w:numPr>
          <w:ilvl w:val="0"/>
          <w:numId w:val="1003"/>
        </w:numPr>
      </w:pPr>
      <w:r>
        <w:t xml:space="preserve">Is full-year capex still expected to be just over $25 billion, or is it moving higher?</w:t>
      </w:r>
    </w:p>
    <w:p>
      <w:pPr>
        <w:pStyle w:val="Compact"/>
        <w:numPr>
          <w:ilvl w:val="0"/>
          <w:numId w:val="1003"/>
        </w:numPr>
      </w:pPr>
      <w:r>
        <w:t xml:space="preserve">How much is being spent on AI training versus Robotaxi vehicles, Optimus, batteries and semiconductor fabrication?</w:t>
      </w:r>
    </w:p>
    <w:p>
      <w:pPr>
        <w:pStyle w:val="Compact"/>
        <w:numPr>
          <w:ilvl w:val="0"/>
          <w:numId w:val="1003"/>
        </w:numPr>
      </w:pPr>
      <w:r>
        <w:t xml:space="preserve">When does management expect free cash flow to turn positive again?</w:t>
      </w:r>
    </w:p>
    <w:p>
      <w:pPr>
        <w:pStyle w:val="Compact"/>
        <w:numPr>
          <w:ilvl w:val="0"/>
          <w:numId w:val="1003"/>
        </w:numPr>
      </w:pPr>
      <w:r>
        <w:t xml:space="preserve">Will future spending be funded internally, through debt or through equity?</w:t>
      </w:r>
    </w:p>
    <w:p>
      <w:pPr>
        <w:pStyle w:val="Compact"/>
        <w:numPr>
          <w:ilvl w:val="0"/>
          <w:numId w:val="1003"/>
        </w:numPr>
      </w:pPr>
      <w:r>
        <w:t xml:space="preserve">What measurable milestones should investors use to judge the returns on this spending?</w:t>
      </w:r>
    </w:p>
    <w:p>
      <w:pPr>
        <w:pStyle w:val="FirstParagraph"/>
      </w:pPr>
      <w:r>
        <w:t xml:space="preserve">An EPS beat accompanied by a higher capex forecast could still be received negatively.</w:t>
      </w:r>
    </w:p>
    <w:p>
      <w:r>
        <w:pict>
          <v:rect style="width:0;height:1.5pt" o:hralign="center" o:hrstd="t" o:hr="t"/>
        </w:pict>
      </w:r>
    </w:p>
    <w:bookmarkEnd w:id="20"/>
    <w:bookmarkStart w:id="21" w:name="X0d52384439b5588e5ed58cf4e83445afa964e14"/>
    <w:p>
      <w:pPr>
        <w:pStyle w:val="Heading2"/>
      </w:pPr>
      <w:r>
        <w:t xml:space="preserve">3. Robotaxi: investors need operating data, not just more cities</w:t>
      </w:r>
    </w:p>
    <w:p>
      <w:pPr>
        <w:pStyle w:val="FirstParagraph"/>
      </w:pPr>
      <w:r>
        <w:t xml:space="preserve">Tesla ended Q1 with unsupervised operations in Austin, Dallas and Houston, while the Bay Area service still used a safety driver. The company has since announced small pilots in Miami, Orlando and Tampa, although the size and commercial intensity of these operations remain unclear. (</w:t>
      </w:r>
      <w:hyperlink r:id="rId17">
        <w:r>
          <w:rPr>
            <w:rStyle w:val="Hyperlink"/>
          </w:rPr>
          <w:t xml:space="preserve">ir.tesla.com</w:t>
        </w:r>
      </w:hyperlink>
      <w:r>
        <w:t xml:space="preserve">)</w:t>
      </w:r>
    </w:p>
    <w:p>
      <w:pPr>
        <w:pStyle w:val="BodyText"/>
      </w:pPr>
      <w:r>
        <w:t xml:space="preserve">The highest-value disclosures would be:</w:t>
      </w:r>
    </w:p>
    <w:p>
      <w:pPr>
        <w:pStyle w:val="Compact"/>
        <w:numPr>
          <w:ilvl w:val="0"/>
          <w:numId w:val="1004"/>
        </w:numPr>
      </w:pPr>
      <w:r>
        <w:t xml:space="preserve">Number of active Robotaxi vehicles.</w:t>
      </w:r>
    </w:p>
    <w:p>
      <w:pPr>
        <w:pStyle w:val="Compact"/>
        <w:numPr>
          <w:ilvl w:val="0"/>
          <w:numId w:val="1004"/>
        </w:numPr>
      </w:pPr>
      <w:r>
        <w:t xml:space="preserve">Paid miles during Q2.</w:t>
      </w:r>
    </w:p>
    <w:p>
      <w:pPr>
        <w:pStyle w:val="Compact"/>
        <w:numPr>
          <w:ilvl w:val="0"/>
          <w:numId w:val="1004"/>
        </w:numPr>
      </w:pPr>
      <w:r>
        <w:t xml:space="preserve">Number of completed paid trips.</w:t>
      </w:r>
    </w:p>
    <w:p>
      <w:pPr>
        <w:pStyle w:val="Compact"/>
        <w:numPr>
          <w:ilvl w:val="0"/>
          <w:numId w:val="1004"/>
        </w:numPr>
      </w:pPr>
      <w:r>
        <w:t xml:space="preserve">Revenue per vehicle or per mile.</w:t>
      </w:r>
    </w:p>
    <w:p>
      <w:pPr>
        <w:pStyle w:val="Compact"/>
        <w:numPr>
          <w:ilvl w:val="0"/>
          <w:numId w:val="1004"/>
        </w:numPr>
      </w:pPr>
      <w:r>
        <w:t xml:space="preserve">Remote-assistance or intervention frequency.</w:t>
      </w:r>
    </w:p>
    <w:p>
      <w:pPr>
        <w:pStyle w:val="Compact"/>
        <w:numPr>
          <w:ilvl w:val="0"/>
          <w:numId w:val="1004"/>
        </w:numPr>
      </w:pPr>
      <w:r>
        <w:t xml:space="preserve">Utilization and vehicle downtime.</w:t>
      </w:r>
    </w:p>
    <w:p>
      <w:pPr>
        <w:pStyle w:val="Compact"/>
        <w:numPr>
          <w:ilvl w:val="0"/>
          <w:numId w:val="1004"/>
        </w:numPr>
      </w:pPr>
      <w:r>
        <w:t xml:space="preserve">Geographic operating-area expansion.</w:t>
      </w:r>
    </w:p>
    <w:p>
      <w:pPr>
        <w:pStyle w:val="Compact"/>
        <w:numPr>
          <w:ilvl w:val="0"/>
          <w:numId w:val="1004"/>
        </w:numPr>
      </w:pPr>
      <w:r>
        <w:t xml:space="preserve">Accident and insurance-loss data.</w:t>
      </w:r>
    </w:p>
    <w:p>
      <w:pPr>
        <w:pStyle w:val="Compact"/>
        <w:numPr>
          <w:ilvl w:val="0"/>
          <w:numId w:val="1004"/>
        </w:numPr>
      </w:pPr>
      <w:r>
        <w:t xml:space="preserve">Timing for transitioning from Model Y to Cybercab.</w:t>
      </w:r>
    </w:p>
    <w:p>
      <w:pPr>
        <w:pStyle w:val="Compact"/>
        <w:numPr>
          <w:ilvl w:val="0"/>
          <w:numId w:val="1004"/>
        </w:numPr>
      </w:pPr>
      <w:r>
        <w:t xml:space="preserve">A concrete threshold for calling the service commercially scalable.</w:t>
      </w:r>
    </w:p>
    <w:p>
      <w:pPr>
        <w:pStyle w:val="FirstParagraph"/>
      </w:pPr>
      <w:r>
        <w:t xml:space="preserve">Management previously indicated Robotaxi revenue would not be especially material in 2026 but could become significant in 2027. Investors should therefore focus less on current revenue and more on whether operational scaling is accelerating.</w:t>
      </w:r>
    </w:p>
    <w:p>
      <w:pPr>
        <w:pStyle w:val="BodyText"/>
      </w:pPr>
      <w:r>
        <w:t xml:space="preserve">A list of newly announced cities is less meaningful if fleet sizes, utilization and paid miles remain small.</w:t>
      </w:r>
    </w:p>
    <w:p>
      <w:r>
        <w:pict>
          <v:rect style="width:0;height:1.5pt" o:hralign="center" o:hrstd="t" o:hr="t"/>
        </w:pict>
      </w:r>
    </w:p>
    <w:bookmarkEnd w:id="21"/>
    <w:bookmarkStart w:id="23" w:name="X68afb748dd884c2bf85a1d39a6175e39c4a5eee"/>
    <w:p>
      <w:pPr>
        <w:pStyle w:val="Heading2"/>
      </w:pPr>
      <w:r>
        <w:t xml:space="preserve">4. FSD subscriptions and international approvals</w:t>
      </w:r>
    </w:p>
    <w:p>
      <w:pPr>
        <w:pStyle w:val="FirstParagraph"/>
      </w:pPr>
      <w:r>
        <w:t xml:space="preserve">Tesla reported</w:t>
      </w:r>
      <w:r>
        <w:t xml:space="preserve"> </w:t>
      </w:r>
      <w:r>
        <w:rPr>
          <w:b/>
          <w:bCs/>
        </w:rPr>
        <w:t xml:space="preserve">1.28 million active paid FSD subscriptions</w:t>
      </w:r>
      <w:r>
        <w:t xml:space="preserve"> </w:t>
      </w:r>
      <w:r>
        <w:t xml:space="preserve">at the end of Q1, up 51% year over year, and began emphasizing a subscription-only model in certain markets. The company also positioned FSD as the primary product, with the vehicle serving as its delivery platform. (</w:t>
      </w:r>
      <w:hyperlink r:id="rId17">
        <w:r>
          <w:rPr>
            <w:rStyle w:val="Hyperlink"/>
          </w:rPr>
          <w:t xml:space="preserve">ir.tesla.com</w:t>
        </w:r>
      </w:hyperlink>
      <w:r>
        <w:t xml:space="preserve">)</w:t>
      </w:r>
    </w:p>
    <w:p>
      <w:pPr>
        <w:pStyle w:val="BodyText"/>
      </w:pPr>
      <w:r>
        <w:t xml:space="preserve">Investors should look for:</w:t>
      </w:r>
    </w:p>
    <w:p>
      <w:pPr>
        <w:pStyle w:val="Compact"/>
        <w:numPr>
          <w:ilvl w:val="0"/>
          <w:numId w:val="1005"/>
        </w:numPr>
      </w:pPr>
      <w:r>
        <w:t xml:space="preserve">Q2 active subscription count.</w:t>
      </w:r>
    </w:p>
    <w:p>
      <w:pPr>
        <w:pStyle w:val="Compact"/>
        <w:numPr>
          <w:ilvl w:val="0"/>
          <w:numId w:val="1005"/>
        </w:numPr>
      </w:pPr>
      <w:r>
        <w:t xml:space="preserve">Net additions and subscriber churn.</w:t>
      </w:r>
    </w:p>
    <w:p>
      <w:pPr>
        <w:pStyle w:val="Compact"/>
        <w:numPr>
          <w:ilvl w:val="0"/>
          <w:numId w:val="1005"/>
        </w:numPr>
      </w:pPr>
      <w:r>
        <w:t xml:space="preserve">Attachment among new AI4 vehicle buyers.</w:t>
      </w:r>
    </w:p>
    <w:p>
      <w:pPr>
        <w:pStyle w:val="Compact"/>
        <w:numPr>
          <w:ilvl w:val="0"/>
          <w:numId w:val="1005"/>
        </w:numPr>
      </w:pPr>
      <w:r>
        <w:t xml:space="preserve">Monthly recurring revenue or related software revenue.</w:t>
      </w:r>
    </w:p>
    <w:p>
      <w:pPr>
        <w:pStyle w:val="Compact"/>
        <w:numPr>
          <w:ilvl w:val="0"/>
          <w:numId w:val="1005"/>
        </w:numPr>
      </w:pPr>
      <w:r>
        <w:t xml:space="preserve">Progress toward unsupervised operation in customer vehicles.</w:t>
      </w:r>
    </w:p>
    <w:p>
      <w:pPr>
        <w:pStyle w:val="Compact"/>
        <w:numPr>
          <w:ilvl w:val="0"/>
          <w:numId w:val="1005"/>
        </w:numPr>
      </w:pPr>
      <w:r>
        <w:t xml:space="preserve">Hardware 3 retrofit plans and related costs.</w:t>
      </w:r>
    </w:p>
    <w:p>
      <w:pPr>
        <w:pStyle w:val="Compact"/>
        <w:numPr>
          <w:ilvl w:val="0"/>
          <w:numId w:val="1005"/>
        </w:numPr>
      </w:pPr>
      <w:r>
        <w:t xml:space="preserve">Regulatory status in China and Europe.</w:t>
      </w:r>
    </w:p>
    <w:p>
      <w:pPr>
        <w:pStyle w:val="FirstParagraph"/>
      </w:pPr>
      <w:r>
        <w:t xml:space="preserve">The Netherlands granted provisional approval in April, but broader EU-wide acceptance was not yet complete going into the report; Finland’s regulator indicated that an EU-wide decision could come around October 2026. (</w:t>
      </w:r>
      <w:hyperlink r:id="rId22">
        <w:r>
          <w:rPr>
            <w:rStyle w:val="Hyperlink"/>
          </w:rPr>
          <w:t xml:space="preserve">traficom.fi</w:t>
        </w:r>
      </w:hyperlink>
      <w:r>
        <w:t xml:space="preserve">)</w:t>
      </w:r>
    </w:p>
    <w:p>
      <w:pPr>
        <w:pStyle w:val="BodyText"/>
      </w:pPr>
      <w:r>
        <w:t xml:space="preserve">A large increase in subscriptions would be one of the clearest signs that Tesla’s mix is genuinely shifting toward higher-margin recurring software revenue.</w:t>
      </w:r>
    </w:p>
    <w:p>
      <w:r>
        <w:pict>
          <v:rect style="width:0;height:1.5pt" o:hralign="center" o:hrstd="t" o:hr="t"/>
        </w:pict>
      </w:r>
    </w:p>
    <w:bookmarkEnd w:id="23"/>
    <w:bookmarkStart w:id="27" w:name="X8f2d87b4974a951ceb8c4bcd8981e48c3327216"/>
    <w:p>
      <w:pPr>
        <w:pStyle w:val="Heading2"/>
      </w:pPr>
      <w:r>
        <w:t xml:space="preserve">5. Product ramps: milestones matter more than installed capacity</w:t>
      </w:r>
    </w:p>
    <w:p>
      <w:pPr>
        <w:pStyle w:val="FirstParagraph"/>
      </w:pPr>
      <w:r>
        <w:t xml:space="preserve">Tesla’s Q1 materials said Cybercab and Semi were scheduled for volume production during 2026, while Optimus production equipment was being installed. The Fremont Optimus line is designed for an eventual one-million-unit annual rate, but management explicitly cautioned that initial production would be slow and difficult to forecast. (</w:t>
      </w:r>
      <w:hyperlink r:id="rId17">
        <w:r>
          <w:rPr>
            <w:rStyle w:val="Hyperlink"/>
          </w:rPr>
          <w:t xml:space="preserve">ir.tesla.com</w:t>
        </w:r>
      </w:hyperlink>
      <w:r>
        <w:t xml:space="preserve">)</w:t>
      </w:r>
    </w:p>
    <w:p>
      <w:pPr>
        <w:pStyle w:val="BodyText"/>
      </w:pPr>
      <w:r>
        <w:t xml:space="preserve">Investors should seek specific answers on:</w:t>
      </w:r>
    </w:p>
    <w:bookmarkStart w:id="24" w:name="cybercab"/>
    <w:p>
      <w:pPr>
        <w:pStyle w:val="Heading3"/>
      </w:pPr>
      <w:r>
        <w:t xml:space="preserve">Cybercab</w:t>
      </w:r>
    </w:p>
    <w:p>
      <w:pPr>
        <w:pStyle w:val="Compact"/>
        <w:numPr>
          <w:ilvl w:val="0"/>
          <w:numId w:val="1006"/>
        </w:numPr>
      </w:pPr>
      <w:r>
        <w:t xml:space="preserve">Has production moved beyond pilot status?</w:t>
      </w:r>
    </w:p>
    <w:p>
      <w:pPr>
        <w:pStyle w:val="Compact"/>
        <w:numPr>
          <w:ilvl w:val="0"/>
          <w:numId w:val="1006"/>
        </w:numPr>
      </w:pPr>
      <w:r>
        <w:t xml:space="preserve">What is the current weekly rate?</w:t>
      </w:r>
    </w:p>
    <w:p>
      <w:pPr>
        <w:pStyle w:val="Compact"/>
        <w:numPr>
          <w:ilvl w:val="0"/>
          <w:numId w:val="1006"/>
        </w:numPr>
      </w:pPr>
      <w:r>
        <w:t xml:space="preserve">When will Cybercab enter paid Robotaxi service?</w:t>
      </w:r>
    </w:p>
    <w:p>
      <w:pPr>
        <w:pStyle w:val="Compact"/>
        <w:numPr>
          <w:ilvl w:val="0"/>
          <w:numId w:val="1006"/>
        </w:numPr>
      </w:pPr>
      <w:r>
        <w:t xml:space="preserve">Are regulatory changes still needed for pedal- and steering-wheel-free deployment?</w:t>
      </w:r>
    </w:p>
    <w:p>
      <w:pPr>
        <w:pStyle w:val="Compact"/>
        <w:numPr>
          <w:ilvl w:val="0"/>
          <w:numId w:val="1006"/>
        </w:numPr>
      </w:pPr>
      <w:r>
        <w:t xml:space="preserve">What is the targeted production cost?</w:t>
      </w:r>
    </w:p>
    <w:bookmarkEnd w:id="24"/>
    <w:bookmarkStart w:id="25" w:name="optimus"/>
    <w:p>
      <w:pPr>
        <w:pStyle w:val="Heading3"/>
      </w:pPr>
      <w:r>
        <w:t xml:space="preserve">Optimus</w:t>
      </w:r>
    </w:p>
    <w:p>
      <w:pPr>
        <w:pStyle w:val="Compact"/>
        <w:numPr>
          <w:ilvl w:val="0"/>
          <w:numId w:val="1007"/>
        </w:numPr>
      </w:pPr>
      <w:r>
        <w:t xml:space="preserve">Has the V3 design been finalized?</w:t>
      </w:r>
    </w:p>
    <w:p>
      <w:pPr>
        <w:pStyle w:val="Compact"/>
        <w:numPr>
          <w:ilvl w:val="0"/>
          <w:numId w:val="1007"/>
        </w:numPr>
      </w:pPr>
      <w:r>
        <w:t xml:space="preserve">Has production begun at Fremont?</w:t>
      </w:r>
    </w:p>
    <w:p>
      <w:pPr>
        <w:pStyle w:val="Compact"/>
        <w:numPr>
          <w:ilvl w:val="0"/>
          <w:numId w:val="1007"/>
        </w:numPr>
      </w:pPr>
      <w:r>
        <w:t xml:space="preserve">How many robots can realistically be produced in 2026?</w:t>
      </w:r>
    </w:p>
    <w:p>
      <w:pPr>
        <w:pStyle w:val="Compact"/>
        <w:numPr>
          <w:ilvl w:val="0"/>
          <w:numId w:val="1007"/>
        </w:numPr>
      </w:pPr>
      <w:r>
        <w:t xml:space="preserve">Are robots performing economically useful work rather than demonstrations?</w:t>
      </w:r>
    </w:p>
    <w:p>
      <w:pPr>
        <w:pStyle w:val="Compact"/>
        <w:numPr>
          <w:ilvl w:val="0"/>
          <w:numId w:val="1007"/>
        </w:numPr>
      </w:pPr>
      <w:r>
        <w:t xml:space="preserve">What components remain the principal bottlenecks?</w:t>
      </w:r>
    </w:p>
    <w:bookmarkEnd w:id="25"/>
    <w:bookmarkStart w:id="26" w:name="semi"/>
    <w:p>
      <w:pPr>
        <w:pStyle w:val="Heading3"/>
      </w:pPr>
      <w:r>
        <w:t xml:space="preserve">Semi</w:t>
      </w:r>
    </w:p>
    <w:p>
      <w:pPr>
        <w:pStyle w:val="Compact"/>
        <w:numPr>
          <w:ilvl w:val="0"/>
          <w:numId w:val="1008"/>
        </w:numPr>
      </w:pPr>
      <w:r>
        <w:t xml:space="preserve">Has volume production started?</w:t>
      </w:r>
    </w:p>
    <w:p>
      <w:pPr>
        <w:pStyle w:val="Compact"/>
        <w:numPr>
          <w:ilvl w:val="0"/>
          <w:numId w:val="1008"/>
        </w:numPr>
      </w:pPr>
      <w:r>
        <w:t xml:space="preserve">What is the current production capacity?</w:t>
      </w:r>
    </w:p>
    <w:p>
      <w:pPr>
        <w:pStyle w:val="Compact"/>
        <w:numPr>
          <w:ilvl w:val="0"/>
          <w:numId w:val="1008"/>
        </w:numPr>
      </w:pPr>
      <w:r>
        <w:t xml:space="preserve">Are battery-pack constraints affecting the ramp?</w:t>
      </w:r>
    </w:p>
    <w:p>
      <w:pPr>
        <w:pStyle w:val="Compact"/>
        <w:numPr>
          <w:ilvl w:val="0"/>
          <w:numId w:val="1008"/>
        </w:numPr>
      </w:pPr>
      <w:r>
        <w:t xml:space="preserve">What customer delivery schedule is expected during the second half?</w:t>
      </w:r>
    </w:p>
    <w:p>
      <w:pPr>
        <w:pStyle w:val="FirstParagraph"/>
      </w:pPr>
      <w:r>
        <w:t xml:space="preserve">Missed timelines matter because a large portion of Tesla’s current capital spending and valuation rests on these businesses.</w:t>
      </w:r>
    </w:p>
    <w:p>
      <w:r>
        <w:pict>
          <v:rect style="width:0;height:1.5pt" o:hralign="center" o:hrstd="t" o:hr="t"/>
        </w:pict>
      </w:r>
    </w:p>
    <w:bookmarkEnd w:id="26"/>
    <w:bookmarkEnd w:id="27"/>
    <w:bookmarkStart w:id="31" w:name="Xedeb3e8b8b6b50bd9ad09e91404d25836e6b0e2"/>
    <w:p>
      <w:pPr>
        <w:pStyle w:val="Heading2"/>
      </w:pPr>
      <w:r>
        <w:t xml:space="preserve">What would constitute a good or bad report?</w:t>
      </w:r>
    </w:p>
    <w:bookmarkStart w:id="28" w:name="bull-case"/>
    <w:p>
      <w:pPr>
        <w:pStyle w:val="Heading3"/>
      </w:pPr>
      <w:r>
        <w:t xml:space="preserve">Bull case</w:t>
      </w:r>
    </w:p>
    <w:p>
      <w:pPr>
        <w:pStyle w:val="Compact"/>
        <w:numPr>
          <w:ilvl w:val="0"/>
          <w:numId w:val="1009"/>
        </w:numPr>
      </w:pPr>
      <w:r>
        <w:t xml:space="preserve">Revenue above</w:t>
      </w:r>
      <w:r>
        <w:t xml:space="preserve"> </w:t>
      </w:r>
      <w:r>
        <w:rPr>
          <w:b/>
          <w:bCs/>
        </w:rPr>
        <w:t xml:space="preserve">$28 billion</w:t>
      </w:r>
      <w:r>
        <w:t xml:space="preserve">.</w:t>
      </w:r>
    </w:p>
    <w:p>
      <w:pPr>
        <w:pStyle w:val="Compact"/>
        <w:numPr>
          <w:ilvl w:val="0"/>
          <w:numId w:val="1009"/>
        </w:numPr>
      </w:pPr>
      <w:r>
        <w:t xml:space="preserve">Non-GAAP EPS above</w:t>
      </w:r>
      <w:r>
        <w:t xml:space="preserve"> </w:t>
      </w:r>
      <w:r>
        <w:rPr>
          <w:b/>
          <w:bCs/>
        </w:rPr>
        <w:t xml:space="preserve">$0.60</w:t>
      </w:r>
      <w:r>
        <w:t xml:space="preserve">.</w:t>
      </w:r>
    </w:p>
    <w:p>
      <w:pPr>
        <w:pStyle w:val="Compact"/>
        <w:numPr>
          <w:ilvl w:val="0"/>
          <w:numId w:val="1009"/>
        </w:numPr>
      </w:pPr>
      <w:r>
        <w:t xml:space="preserve">Total gross margin around or above</w:t>
      </w:r>
      <w:r>
        <w:t xml:space="preserve"> </w:t>
      </w:r>
      <w:r>
        <w:rPr>
          <w:b/>
          <w:bCs/>
        </w:rPr>
        <w:t xml:space="preserve">20%</w:t>
      </w:r>
      <w:r>
        <w:t xml:space="preserve">.</w:t>
      </w:r>
    </w:p>
    <w:p>
      <w:pPr>
        <w:pStyle w:val="Compact"/>
        <w:numPr>
          <w:ilvl w:val="0"/>
          <w:numId w:val="1009"/>
        </w:numPr>
      </w:pPr>
      <w:r>
        <w:t xml:space="preserve">Ex-credit auto margin near</w:t>
      </w:r>
      <w:r>
        <w:t xml:space="preserve"> </w:t>
      </w:r>
      <w:r>
        <w:rPr>
          <w:b/>
          <w:bCs/>
        </w:rPr>
        <w:t xml:space="preserve">19%</w:t>
      </w:r>
      <w:r>
        <w:t xml:space="preserve"> </w:t>
      </w:r>
      <w:r>
        <w:t xml:space="preserve">without large one-time items.</w:t>
      </w:r>
    </w:p>
    <w:p>
      <w:pPr>
        <w:pStyle w:val="Compact"/>
        <w:numPr>
          <w:ilvl w:val="0"/>
          <w:numId w:val="1009"/>
        </w:numPr>
      </w:pPr>
      <w:r>
        <w:t xml:space="preserve">Q2 free cash flow better than the approximately</w:t>
      </w:r>
      <w:r>
        <w:t xml:space="preserve"> </w:t>
      </w:r>
      <w:r>
        <w:rPr>
          <w:b/>
          <w:bCs/>
        </w:rPr>
        <w:t xml:space="preserve">-$3 billion</w:t>
      </w:r>
      <w:r>
        <w:t xml:space="preserve"> </w:t>
      </w:r>
      <w:r>
        <w:t xml:space="preserve">median expectation.</w:t>
      </w:r>
    </w:p>
    <w:p>
      <w:pPr>
        <w:pStyle w:val="Compact"/>
        <w:numPr>
          <w:ilvl w:val="0"/>
          <w:numId w:val="1009"/>
        </w:numPr>
      </w:pPr>
      <w:r>
        <w:t xml:space="preserve">FSD subscriptions rise meaningfully from 1.28 million.</w:t>
      </w:r>
    </w:p>
    <w:p>
      <w:pPr>
        <w:pStyle w:val="Compact"/>
        <w:numPr>
          <w:ilvl w:val="0"/>
          <w:numId w:val="1009"/>
        </w:numPr>
      </w:pPr>
      <w:r>
        <w:t xml:space="preserve">Robotaxi paid miles and fleet size show clear sequential acceleration.</w:t>
      </w:r>
    </w:p>
    <w:p>
      <w:pPr>
        <w:pStyle w:val="Compact"/>
        <w:numPr>
          <w:ilvl w:val="0"/>
          <w:numId w:val="1009"/>
        </w:numPr>
      </w:pPr>
      <w:r>
        <w:t xml:space="preserve">Cybercab, Semi and Optimus schedules are reaffirmed with measurable production data.</w:t>
      </w:r>
    </w:p>
    <w:p>
      <w:pPr>
        <w:pStyle w:val="Compact"/>
        <w:numPr>
          <w:ilvl w:val="0"/>
          <w:numId w:val="1009"/>
        </w:numPr>
      </w:pPr>
      <w:r>
        <w:t xml:space="preserve">Full-year capex does not rise materially above the existing plan.</w:t>
      </w:r>
    </w:p>
    <w:bookmarkEnd w:id="28"/>
    <w:bookmarkStart w:id="29" w:name="base-case"/>
    <w:p>
      <w:pPr>
        <w:pStyle w:val="Heading3"/>
      </w:pPr>
      <w:r>
        <w:t xml:space="preserve">Base case</w:t>
      </w:r>
    </w:p>
    <w:p>
      <w:pPr>
        <w:pStyle w:val="Compact"/>
        <w:numPr>
          <w:ilvl w:val="0"/>
          <w:numId w:val="1010"/>
        </w:numPr>
      </w:pPr>
      <w:r>
        <w:t xml:space="preserve">Revenue of approximately</w:t>
      </w:r>
      <w:r>
        <w:t xml:space="preserve"> </w:t>
      </w:r>
      <m:oMath>
        <m:r>
          <m:t>27.5</m:t>
        </m:r>
        <m:r>
          <m:t>b</m:t>
        </m:r>
        <m:r>
          <m:t>i</m:t>
        </m:r>
        <m:r>
          <m:t>l</m:t>
        </m:r>
        <m:r>
          <m:t>l</m:t>
        </m:r>
        <m:r>
          <m:t>i</m:t>
        </m:r>
        <m:r>
          <m:t>o</m:t>
        </m:r>
        <m:r>
          <m:t>n</m:t>
        </m:r>
        <m:r>
          <m:rPr>
            <m:sty m:val="p"/>
          </m:rPr>
          <m:t>–</m:t>
        </m:r>
      </m:oMath>
      <w:r>
        <w:rPr>
          <w:b/>
          <w:bCs/>
        </w:rPr>
        <w:t xml:space="preserve">28.0 billion</w:t>
      </w:r>
      <w:r>
        <w:t xml:space="preserve">.</w:t>
      </w:r>
    </w:p>
    <w:p>
      <w:pPr>
        <w:pStyle w:val="Compact"/>
        <w:numPr>
          <w:ilvl w:val="0"/>
          <w:numId w:val="1010"/>
        </w:numPr>
      </w:pPr>
      <w:r>
        <w:t xml:space="preserve">Non-GAAP EPS of</w:t>
      </w:r>
      <w:r>
        <w:t xml:space="preserve"> </w:t>
      </w:r>
      <m:oMath>
        <m:r>
          <m:t>0.50</m:t>
        </m:r>
        <m:r>
          <m:rPr>
            <m:sty m:val="p"/>
          </m:rPr>
          <m:t>–</m:t>
        </m:r>
      </m:oMath>
      <w:r>
        <w:rPr>
          <w:b/>
          <w:bCs/>
        </w:rPr>
        <w:t xml:space="preserve">0.58</w:t>
      </w:r>
      <w:r>
        <w:t xml:space="preserve">.</w:t>
      </w:r>
    </w:p>
    <w:p>
      <w:pPr>
        <w:pStyle w:val="Compact"/>
        <w:numPr>
          <w:ilvl w:val="0"/>
          <w:numId w:val="1010"/>
        </w:numPr>
      </w:pPr>
      <w:r>
        <w:t xml:space="preserve">Gross margin around</w:t>
      </w:r>
      <w:r>
        <w:t xml:space="preserve"> </w:t>
      </w:r>
      <w:r>
        <w:rPr>
          <w:b/>
          <w:bCs/>
        </w:rPr>
        <w:t xml:space="preserve">19%–20%</w:t>
      </w:r>
      <w:r>
        <w:t xml:space="preserve">.</w:t>
      </w:r>
    </w:p>
    <w:p>
      <w:pPr>
        <w:pStyle w:val="Compact"/>
        <w:numPr>
          <w:ilvl w:val="0"/>
          <w:numId w:val="1010"/>
        </w:numPr>
      </w:pPr>
      <w:r>
        <w:t xml:space="preserve">Strong volume but lower vehicle revenue per unit.</w:t>
      </w:r>
    </w:p>
    <w:p>
      <w:pPr>
        <w:pStyle w:val="Compact"/>
        <w:numPr>
          <w:ilvl w:val="0"/>
          <w:numId w:val="1010"/>
        </w:numPr>
      </w:pPr>
      <w:r>
        <w:t xml:space="preserve">Free cash flow near</w:t>
      </w:r>
      <w:r>
        <w:t xml:space="preserve"> </w:t>
      </w:r>
      <w:r>
        <w:rPr>
          <w:b/>
          <w:bCs/>
        </w:rPr>
        <w:t xml:space="preserve">-$3 billion</w:t>
      </w:r>
      <w:r>
        <w:t xml:space="preserve">.</w:t>
      </w:r>
    </w:p>
    <w:p>
      <w:pPr>
        <w:pStyle w:val="Compact"/>
        <w:numPr>
          <w:ilvl w:val="0"/>
          <w:numId w:val="1010"/>
        </w:numPr>
      </w:pPr>
      <w:r>
        <w:t xml:space="preserve">Additional Robotaxi cities but limited disclosure on fleet size and unit economics.</w:t>
      </w:r>
    </w:p>
    <w:p>
      <w:pPr>
        <w:pStyle w:val="Compact"/>
        <w:numPr>
          <w:ilvl w:val="0"/>
          <w:numId w:val="1010"/>
        </w:numPr>
      </w:pPr>
      <w:r>
        <w:t xml:space="preserve">Product schedules remain intact but ramps stay slow.</w:t>
      </w:r>
    </w:p>
    <w:bookmarkEnd w:id="29"/>
    <w:bookmarkStart w:id="30" w:name="bear-case"/>
    <w:p>
      <w:pPr>
        <w:pStyle w:val="Heading3"/>
      </w:pPr>
      <w:r>
        <w:t xml:space="preserve">Bear case</w:t>
      </w:r>
    </w:p>
    <w:p>
      <w:pPr>
        <w:pStyle w:val="Compact"/>
        <w:numPr>
          <w:ilvl w:val="0"/>
          <w:numId w:val="1011"/>
        </w:numPr>
      </w:pPr>
      <w:r>
        <w:t xml:space="preserve">Revenue below</w:t>
      </w:r>
      <w:r>
        <w:t xml:space="preserve"> </w:t>
      </w:r>
      <w:r>
        <w:rPr>
          <w:b/>
          <w:bCs/>
        </w:rPr>
        <w:t xml:space="preserve">$26.5 billion</w:t>
      </w:r>
      <w:r>
        <w:t xml:space="preserve"> </w:t>
      </w:r>
      <w:r>
        <w:t xml:space="preserve">despite the delivery beat.</w:t>
      </w:r>
    </w:p>
    <w:p>
      <w:pPr>
        <w:pStyle w:val="Compact"/>
        <w:numPr>
          <w:ilvl w:val="0"/>
          <w:numId w:val="1011"/>
        </w:numPr>
      </w:pPr>
      <w:r>
        <w:t xml:space="preserve">Non-GAAP EPS below</w:t>
      </w:r>
      <w:r>
        <w:t xml:space="preserve"> </w:t>
      </w:r>
      <w:r>
        <w:rPr>
          <w:b/>
          <w:bCs/>
        </w:rPr>
        <w:t xml:space="preserve">$0.45</w:t>
      </w:r>
      <w:r>
        <w:t xml:space="preserve">.</w:t>
      </w:r>
    </w:p>
    <w:p>
      <w:pPr>
        <w:pStyle w:val="Compact"/>
        <w:numPr>
          <w:ilvl w:val="0"/>
          <w:numId w:val="1011"/>
        </w:numPr>
      </w:pPr>
      <w:r>
        <w:t xml:space="preserve">Total gross margin below</w:t>
      </w:r>
      <w:r>
        <w:t xml:space="preserve"> </w:t>
      </w:r>
      <w:r>
        <w:rPr>
          <w:b/>
          <w:bCs/>
        </w:rPr>
        <w:t xml:space="preserve">18.5%</w:t>
      </w:r>
      <w:r>
        <w:t xml:space="preserve"> </w:t>
      </w:r>
      <w:r>
        <w:t xml:space="preserve">or ex-credit auto margin falls sharply.</w:t>
      </w:r>
    </w:p>
    <w:p>
      <w:pPr>
        <w:pStyle w:val="Compact"/>
        <w:numPr>
          <w:ilvl w:val="0"/>
          <w:numId w:val="1011"/>
        </w:numPr>
      </w:pPr>
      <w:r>
        <w:t xml:space="preserve">Material dependence on regulatory credits, warranty adjustments or other one-time benefits.</w:t>
      </w:r>
    </w:p>
    <w:p>
      <w:pPr>
        <w:pStyle w:val="Compact"/>
        <w:numPr>
          <w:ilvl w:val="0"/>
          <w:numId w:val="1011"/>
        </w:numPr>
      </w:pPr>
      <w:r>
        <w:t xml:space="preserve">Free cash flow worse than</w:t>
      </w:r>
      <w:r>
        <w:t xml:space="preserve"> </w:t>
      </w:r>
      <w:r>
        <w:rPr>
          <w:b/>
          <w:bCs/>
        </w:rPr>
        <w:t xml:space="preserve">-$4 billion</w:t>
      </w:r>
      <w:r>
        <w:t xml:space="preserve">.</w:t>
      </w:r>
    </w:p>
    <w:p>
      <w:pPr>
        <w:pStyle w:val="Compact"/>
        <w:numPr>
          <w:ilvl w:val="0"/>
          <w:numId w:val="1011"/>
        </w:numPr>
      </w:pPr>
      <w:r>
        <w:t xml:space="preserve">Capex guidance rises again without stronger commercial milestones.</w:t>
      </w:r>
    </w:p>
    <w:p>
      <w:pPr>
        <w:pStyle w:val="Compact"/>
        <w:numPr>
          <w:ilvl w:val="0"/>
          <w:numId w:val="1011"/>
        </w:numPr>
      </w:pPr>
      <w:r>
        <w:t xml:space="preserve">Optimus or Cybercab production is delayed.</w:t>
      </w:r>
    </w:p>
    <w:p>
      <w:pPr>
        <w:pStyle w:val="Compact"/>
        <w:numPr>
          <w:ilvl w:val="0"/>
          <w:numId w:val="1011"/>
        </w:numPr>
      </w:pPr>
      <w:r>
        <w:t xml:space="preserve">Robotaxi expansion remains geographically broad but operationally small.</w:t>
      </w:r>
    </w:p>
    <w:p>
      <w:r>
        <w:pict>
          <v:rect style="width:0;height:1.5pt" o:hralign="center" o:hrstd="t" o:hr="t"/>
        </w:pict>
      </w:r>
    </w:p>
    <w:bookmarkEnd w:id="30"/>
    <w:bookmarkEnd w:id="31"/>
    <w:bookmarkStart w:id="33" w:name="stock-setup"/>
    <w:p>
      <w:pPr>
        <w:pStyle w:val="Heading2"/>
      </w:pPr>
      <w:r>
        <w:t xml:space="preserve">Stock setup</w:t>
      </w:r>
    </w:p>
    <w:p>
      <w:pPr>
        <w:pStyle w:val="FirstParagraph"/>
      </w:pPr>
      <w:r>
        <w:t xml:space="preserve">TSLA was trading around</w:t>
      </w:r>
      <w:r>
        <w:t xml:space="preserve"> </w:t>
      </w:r>
      <m:oMath>
        <m:r>
          <m:t>379</m:t>
        </m:r>
        <m:r>
          <m:rPr>
            <m:sty m:val="p"/>
          </m:rPr>
          <m:t>*</m:t>
        </m:r>
        <m:r>
          <m:rPr>
            <m:sty m:val="p"/>
          </m:rPr>
          <m:t>*</m:t>
        </m:r>
        <m:r>
          <m:t>i</m:t>
        </m:r>
        <m:r>
          <m:t>m</m:t>
        </m:r>
        <m:r>
          <m:t>m</m:t>
        </m:r>
        <m:r>
          <m:t>e</m:t>
        </m:r>
        <m:r>
          <m:t>d</m:t>
        </m:r>
        <m:r>
          <m:t>i</m:t>
        </m:r>
        <m:r>
          <m:t>a</m:t>
        </m:r>
        <m:r>
          <m:t>t</m:t>
        </m:r>
        <m:r>
          <m:t>e</m:t>
        </m:r>
        <m:r>
          <m:t>l</m:t>
        </m:r>
        <m:r>
          <m:t>y</m:t>
        </m:r>
        <m:r>
          <m:t>b</m:t>
        </m:r>
        <m:r>
          <m:t>e</m:t>
        </m:r>
        <m:r>
          <m:t>f</m:t>
        </m:r>
        <m:r>
          <m:t>o</m:t>
        </m:r>
        <m:r>
          <m:t>r</m:t>
        </m:r>
        <m:r>
          <m:t>e</m:t>
        </m:r>
        <m:r>
          <m:t>t</m:t>
        </m:r>
        <m:r>
          <m:t>h</m:t>
        </m:r>
        <m:r>
          <m:t>e</m:t>
        </m:r>
        <m:r>
          <m:t>r</m:t>
        </m:r>
        <m:r>
          <m:t>e</m:t>
        </m:r>
        <m:r>
          <m:t>p</m:t>
        </m:r>
        <m:r>
          <m:t>o</m:t>
        </m:r>
        <m:r>
          <m:t>r</m:t>
        </m:r>
        <m:r>
          <m:t>t</m:t>
        </m:r>
        <m:r>
          <m:rPr>
            <m:sty m:val="p"/>
          </m:rPr>
          <m:t>,</m:t>
        </m:r>
        <m:r>
          <m:t>w</m:t>
        </m:r>
        <m:r>
          <m:t>i</m:t>
        </m:r>
        <m:r>
          <m:t>t</m:t>
        </m:r>
        <m:r>
          <m:t>h</m:t>
        </m:r>
        <m:r>
          <m:t>a</m:t>
        </m:r>
        <m:r>
          <m:t>m</m:t>
        </m:r>
        <m:r>
          <m:t>a</m:t>
        </m:r>
        <m:r>
          <m:t>r</m:t>
        </m:r>
        <m:r>
          <m:t>k</m:t>
        </m:r>
        <m:r>
          <m:t>e</m:t>
        </m:r>
        <m:r>
          <m:t>t</m:t>
        </m:r>
        <m:r>
          <m:t>c</m:t>
        </m:r>
        <m:r>
          <m:t>a</m:t>
        </m:r>
        <m:r>
          <m:t>p</m:t>
        </m:r>
        <m:r>
          <m:t>i</m:t>
        </m:r>
        <m:r>
          <m:t>t</m:t>
        </m:r>
        <m:r>
          <m:t>a</m:t>
        </m:r>
        <m:r>
          <m:t>l</m:t>
        </m:r>
        <m:r>
          <m:t>i</m:t>
        </m:r>
        <m:r>
          <m:t>z</m:t>
        </m:r>
        <m:r>
          <m:t>a</m:t>
        </m:r>
        <m:r>
          <m:t>t</m:t>
        </m:r>
        <m:r>
          <m:t>i</m:t>
        </m:r>
        <m:r>
          <m:t>o</m:t>
        </m:r>
        <m:r>
          <m:t>n</m:t>
        </m:r>
        <m:r>
          <m:t>n</m:t>
        </m:r>
        <m:r>
          <m:t>e</m:t>
        </m:r>
        <m:r>
          <m:t>a</m:t>
        </m:r>
        <m:r>
          <m:t>r</m:t>
        </m:r>
        <m:r>
          <m:rPr>
            <m:sty m:val="p"/>
          </m:rPr>
          <m:t>*</m:t>
        </m:r>
        <m:r>
          <m:rPr>
            <m:sty m:val="p"/>
          </m:rPr>
          <m:t>*</m:t>
        </m:r>
      </m:oMath>
      <w:r>
        <w:rPr>
          <w:b/>
          <w:bCs/>
        </w:rPr>
        <w:t xml:space="preserve">1.34 trillion</w:t>
      </w:r>
      <w:r>
        <w:t xml:space="preserve">. The shares were approximately 13% below their first trading-day close of 2026. Options markets were pricing roughly a</w:t>
      </w:r>
      <w:r>
        <w:t xml:space="preserve"> </w:t>
      </w:r>
      <w:r>
        <w:rPr>
          <w:b/>
          <w:bCs/>
        </w:rPr>
        <w:t xml:space="preserve">6%–7% post-earnings move</w:t>
      </w:r>
      <w:r>
        <w:t xml:space="preserve">, equivalent to approximately</w:t>
      </w:r>
      <w:r>
        <w:t xml:space="preserve"> </w:t>
      </w:r>
      <m:oMath>
        <m:r>
          <m:t>23</m:t>
        </m:r>
        <m:r>
          <m:rPr>
            <m:sty m:val="p"/>
          </m:rPr>
          <m:t>–</m:t>
        </m:r>
      </m:oMath>
      <w:r>
        <w:t xml:space="preserve">27 per share. (</w:t>
      </w:r>
      <w:hyperlink r:id="rId32">
        <w:r>
          <w:rPr>
            <w:rStyle w:val="Hyperlink"/>
          </w:rPr>
          <w:t xml:space="preserve">uk.investing.com</w:t>
        </w:r>
      </w:hyperlink>
      <w:r>
        <w:t xml:space="preserve">)</w:t>
      </w:r>
    </w:p>
    <w:p>
      <w:pPr>
        <w:pStyle w:val="BodyText"/>
      </w:pPr>
      <w:r>
        <w:t xml:space="preserve">The company-compiled full-year consensus stands at:</w:t>
      </w:r>
    </w:p>
    <w:p>
      <w:pPr>
        <w:pStyle w:val="Compact"/>
        <w:numPr>
          <w:ilvl w:val="0"/>
          <w:numId w:val="1012"/>
        </w:numPr>
      </w:pPr>
      <w:r>
        <w:rPr>
          <w:b/>
          <w:bCs/>
        </w:rPr>
        <w:t xml:space="preserve">$105.2 billion</w:t>
      </w:r>
      <w:r>
        <w:t xml:space="preserve"> </w:t>
      </w:r>
      <w:r>
        <w:t xml:space="preserve">of revenue.</w:t>
      </w:r>
    </w:p>
    <w:p>
      <w:pPr>
        <w:pStyle w:val="Compact"/>
        <w:numPr>
          <w:ilvl w:val="0"/>
          <w:numId w:val="1012"/>
        </w:numPr>
      </w:pPr>
      <w:r>
        <w:rPr>
          <w:b/>
          <w:bCs/>
        </w:rPr>
        <w:t xml:space="preserve">19.7%</w:t>
      </w:r>
      <w:r>
        <w:t xml:space="preserve"> </w:t>
      </w:r>
      <w:r>
        <w:t xml:space="preserve">gross margin.</w:t>
      </w:r>
    </w:p>
    <w:p>
      <w:pPr>
        <w:pStyle w:val="Compact"/>
        <w:numPr>
          <w:ilvl w:val="0"/>
          <w:numId w:val="1012"/>
        </w:numPr>
      </w:pPr>
      <w:r>
        <w:rPr>
          <w:b/>
          <w:bCs/>
        </w:rPr>
        <w:t xml:space="preserve">5.2%</w:t>
      </w:r>
      <w:r>
        <w:t xml:space="preserve"> </w:t>
      </w:r>
      <w:r>
        <w:t xml:space="preserve">operating margin.</w:t>
      </w:r>
    </w:p>
    <w:p>
      <w:pPr>
        <w:pStyle w:val="Compact"/>
        <w:numPr>
          <w:ilvl w:val="0"/>
          <w:numId w:val="1012"/>
        </w:numPr>
      </w:pPr>
      <w:r>
        <w:rPr>
          <w:b/>
          <w:bCs/>
        </w:rPr>
        <w:t xml:space="preserve">$1.25 GAAP EPS</w:t>
      </w:r>
      <w:r>
        <w:t xml:space="preserve">.</w:t>
      </w:r>
    </w:p>
    <w:p>
      <w:pPr>
        <w:pStyle w:val="Compact"/>
        <w:numPr>
          <w:ilvl w:val="0"/>
          <w:numId w:val="1012"/>
        </w:numPr>
      </w:pPr>
      <w:r>
        <w:rPr>
          <w:b/>
          <w:bCs/>
        </w:rPr>
        <w:t xml:space="preserve">$2.08 non-GAAP EPS</w:t>
      </w:r>
      <w:r>
        <w:t xml:space="preserve">.</w:t>
      </w:r>
    </w:p>
    <w:p>
      <w:pPr>
        <w:pStyle w:val="Compact"/>
        <w:numPr>
          <w:ilvl w:val="0"/>
          <w:numId w:val="1012"/>
        </w:numPr>
      </w:pPr>
      <w:r>
        <w:t xml:space="preserve">Approximately</w:t>
      </w:r>
      <w:r>
        <w:t xml:space="preserve"> </w:t>
      </w:r>
      <w:r>
        <w:rPr>
          <w:b/>
          <w:bCs/>
        </w:rPr>
        <w:t xml:space="preserve">$25.3 billion</w:t>
      </w:r>
      <w:r>
        <w:t xml:space="preserve"> </w:t>
      </w:r>
      <w:r>
        <w:t xml:space="preserve">of capex.</w:t>
      </w:r>
    </w:p>
    <w:p>
      <w:pPr>
        <w:pStyle w:val="Compact"/>
        <w:numPr>
          <w:ilvl w:val="0"/>
          <w:numId w:val="1012"/>
        </w:numPr>
      </w:pPr>
      <w:r>
        <w:t xml:space="preserve">Approximately</w:t>
      </w:r>
      <w:r>
        <w:t xml:space="preserve"> </w:t>
      </w:r>
      <w:r>
        <w:rPr>
          <w:b/>
          <w:bCs/>
        </w:rPr>
        <w:t xml:space="preserve">-$9.9 billion</w:t>
      </w:r>
      <w:r>
        <w:t xml:space="preserve"> </w:t>
      </w:r>
      <w:r>
        <w:t xml:space="preserve">of free cash flow.</w:t>
      </w:r>
    </w:p>
    <w:p>
      <w:pPr>
        <w:pStyle w:val="Compact"/>
        <w:numPr>
          <w:ilvl w:val="0"/>
          <w:numId w:val="1012"/>
        </w:numPr>
      </w:pPr>
      <w:r>
        <w:t xml:space="preserve">About</w:t>
      </w:r>
      <w:r>
        <w:t xml:space="preserve"> </w:t>
      </w:r>
      <w:r>
        <w:rPr>
          <w:b/>
          <w:bCs/>
        </w:rPr>
        <w:t xml:space="preserve">1.73 million</w:t>
      </w:r>
      <w:r>
        <w:t xml:space="preserve"> </w:t>
      </w:r>
      <w:r>
        <w:t xml:space="preserve">vehicle deliveries. (</w:t>
      </w:r>
      <w:hyperlink r:id="rId10">
        <w:r>
          <w:rPr>
            <w:rStyle w:val="Hyperlink"/>
          </w:rPr>
          <w:t xml:space="preserve">ir.tesla.com</w:t>
        </w:r>
      </w:hyperlink>
      <w:r>
        <w:t xml:space="preserve">)</w:t>
      </w:r>
    </w:p>
    <w:p>
      <w:pPr>
        <w:pStyle w:val="FirstParagraph"/>
      </w:pPr>
      <w:r>
        <w:t xml:space="preserve">At the current share price, that equates to roughly</w:t>
      </w:r>
      <w:r>
        <w:t xml:space="preserve"> </w:t>
      </w:r>
      <w:r>
        <w:rPr>
          <w:b/>
          <w:bCs/>
        </w:rPr>
        <w:t xml:space="preserve">182x expected 2026 non-GAAP EPS</w:t>
      </w:r>
      <w:r>
        <w:t xml:space="preserve"> </w:t>
      </w:r>
      <w:r>
        <w:t xml:space="preserve">and more than</w:t>
      </w:r>
      <w:r>
        <w:t xml:space="preserve"> </w:t>
      </w:r>
      <w:r>
        <w:rPr>
          <w:b/>
          <w:bCs/>
        </w:rPr>
        <w:t xml:space="preserve">300x GAAP EPS</w:t>
      </w:r>
      <w:r>
        <w:t xml:space="preserve">. Consequently, a modest earnings beat alone may not be sufficient. The stock reaction is more likely to be determined by whether management provides credible evidence that today’s capital spending can create large, profitable autonomy and robotics businesses.</w:t>
      </w:r>
    </w:p>
    <w:p>
      <w:r>
        <w:pict>
          <v:rect style="width:0;height:1.5pt" o:hralign="center" o:hrstd="t" o:hr="t"/>
        </w:pict>
      </w:r>
    </w:p>
    <w:bookmarkEnd w:id="33"/>
    <w:bookmarkStart w:id="34" w:name="bottom-line"/>
    <w:p>
      <w:pPr>
        <w:pStyle w:val="Heading2"/>
      </w:pPr>
      <w:r>
        <w:t xml:space="preserve">Bottom line</w:t>
      </w:r>
    </w:p>
    <w:p>
      <w:pPr>
        <w:pStyle w:val="FirstParagraph"/>
      </w:pPr>
      <w:r>
        <w:t xml:space="preserve">The Q2 headline numbers should be strong: Tesla has already reported a major delivery beat, inventory reduction and a sizable rebound in energy deployments. The principal financial risk is that the revenue uplift came with weaker mix and lower normalized margins.</w:t>
      </w:r>
    </w:p>
    <w:p>
      <w:pPr>
        <w:pStyle w:val="BodyText"/>
      </w:pPr>
      <w:r>
        <w:t xml:space="preserve">The central investment question, however, has moved beyond Q2 earnings:</w:t>
      </w:r>
    </w:p>
    <w:p>
      <w:pPr>
        <w:pStyle w:val="BlockText"/>
      </w:pPr>
      <w:r>
        <w:rPr>
          <w:b/>
          <w:bCs/>
        </w:rPr>
        <w:t xml:space="preserve">Can Tesla demonstrate that its rapidly rising AI and robotics investment is producing measurable commercial progress before cash burn and valuation become harder to defend?</w:t>
      </w:r>
    </w:p>
    <w:p>
      <w:pPr>
        <w:pStyle w:val="FirstParagraph"/>
      </w:pPr>
      <w:r>
        <w:t xml:space="preserve">For the immediate stock reaction, the most important figures are likely to be</w:t>
      </w:r>
      <w:r>
        <w:t xml:space="preserve"> </w:t>
      </w:r>
      <w:r>
        <w:rPr>
          <w:b/>
          <w:bCs/>
        </w:rPr>
        <w:t xml:space="preserve">automotive gross margin excluding credits, free cash flow and 2026 capex guidance</w:t>
      </w:r>
      <w:r>
        <w:t xml:space="preserve">. For the longer-term thesis, the most important disclosures will be</w:t>
      </w:r>
      <w:r>
        <w:t xml:space="preserve"> </w:t>
      </w:r>
      <w:r>
        <w:rPr>
          <w:b/>
          <w:bCs/>
        </w:rPr>
        <w:t xml:space="preserve">Robotaxi fleet economics, paid-mile growth, FSD subscriptions and actual Cybercab/Optimus production milestones</w:t>
      </w:r>
      <w:r>
        <w:t xml:space="preserve">.</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7" Target="https://ir.tesla.com/_flysystem/s3/sec/000162828026026551/tsla-20260422-gen.pdf" TargetMode="External" /><Relationship Type="http://schemas.openxmlformats.org/officeDocument/2006/relationships/hyperlink" Id="rId10" Target="https://ir.tesla.com/press-release/earnings-consensus-second-quarter-2026" TargetMode="External" /><Relationship Type="http://schemas.openxmlformats.org/officeDocument/2006/relationships/hyperlink" Id="rId9" Target="https://ir.tesla.com/press-release/tesla-second-quarter-2026-production-deliveries-and-deployments" TargetMode="External" /><Relationship Type="http://schemas.openxmlformats.org/officeDocument/2006/relationships/hyperlink" Id="rId22" Target="https://traficom.fi/en/news/traficom-assesses-approval-teslas-fsd-supervised-system-finland?utm_source=openai" TargetMode="External" /><Relationship Type="http://schemas.openxmlformats.org/officeDocument/2006/relationships/hyperlink" Id="rId32" Target="https://uk.investing.com/news/stock-market-news/tesla-stock-may-move-57-on-july-22-earnings-report-93CH-4772272?utm_source=openai" TargetMode="External" /><Relationship Type="http://schemas.openxmlformats.org/officeDocument/2006/relationships/hyperlink" Id="rId19" Target="https://www.sec.gov/Archives/edgar/data/1318605/000162828026026673/tsla-20260331.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7" Target="https://ir.tesla.com/_flysystem/s3/sec/000162828026026551/tsla-20260422-gen.pdf" TargetMode="External" /><Relationship Type="http://schemas.openxmlformats.org/officeDocument/2006/relationships/hyperlink" Id="rId10" Target="https://ir.tesla.com/press-release/earnings-consensus-second-quarter-2026" TargetMode="External" /><Relationship Type="http://schemas.openxmlformats.org/officeDocument/2006/relationships/hyperlink" Id="rId9" Target="https://ir.tesla.com/press-release/tesla-second-quarter-2026-production-deliveries-and-deployments" TargetMode="External" /><Relationship Type="http://schemas.openxmlformats.org/officeDocument/2006/relationships/hyperlink" Id="rId22" Target="https://traficom.fi/en/news/traficom-assesses-approval-teslas-fsd-supervised-system-finland?utm_source=openai" TargetMode="External" /><Relationship Type="http://schemas.openxmlformats.org/officeDocument/2006/relationships/hyperlink" Id="rId32" Target="https://uk.investing.com/news/stock-market-news/tesla-stock-may-move-57-on-july-22-earnings-report-93CH-4772272?utm_source=openai" TargetMode="External" /><Relationship Type="http://schemas.openxmlformats.org/officeDocument/2006/relationships/hyperlink" Id="rId19" Target="https://www.sec.gov/Archives/edgar/data/1318605/000162828026026673/tsla-20260331.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2026-07-22T00:50:09Z</dcterms:created>
  <dcterms:modified xsi:type="dcterms:W3CDTF">2026-07-22T00:50:09Z</dcterms:modified>
</cp:coreProperties>
</file>

<file path=docProps/custom.xml><?xml version="1.0" encoding="utf-8"?>
<Properties xmlns="http://schemas.openxmlformats.org/officeDocument/2006/custom-properties" xmlns:vt="http://schemas.openxmlformats.org/officeDocument/2006/docPropsVTypes"/>
</file>