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tesla-tsla-q2-2026-earnings-preview"/>
    <w:p>
      <w:pPr>
        <w:pStyle w:val="Heading1"/>
      </w:pPr>
      <w:r>
        <w:t xml:space="preserve">Tesla (TSLA) Q2 2026 Earnings Preview</w:t>
      </w:r>
    </w:p>
    <w:p>
      <w:pPr>
        <w:pStyle w:val="BlockText"/>
      </w:pPr>
      <w:r>
        <w:rPr>
          <w:b/>
          <w:bCs/>
        </w:rPr>
        <w:t xml:space="preserve">Timing correction:</w:t>
      </w:r>
      <w:r>
        <w:t xml:space="preserve"> </w:t>
      </w:r>
      <w:r>
        <w:t xml:space="preserve">Tesla reports</w:t>
      </w:r>
      <w:r>
        <w:t xml:space="preserve"> </w:t>
      </w:r>
      <w:r>
        <w:rPr>
          <w:b/>
          <w:bCs/>
        </w:rPr>
        <w:t xml:space="preserve">today, Wednesday, July 22, 2026</w:t>
      </w:r>
      <w:r>
        <w:t xml:space="preserve">, after the U.S. market close—not tomorrow. The company’s Q2 update is due after market close, followed by the webcast at</w:t>
      </w:r>
      <w:r>
        <w:t xml:space="preserve"> </w:t>
      </w:r>
      <w:r>
        <w:rPr>
          <w:b/>
          <w:bCs/>
        </w:rPr>
        <w:t xml:space="preserve">5:30 p.m. Eastern / 4:30 p.m. Central</w:t>
      </w:r>
      <w:r>
        <w:t xml:space="preserve">.</w:t>
      </w:r>
    </w:p>
    <w:bookmarkStart w:id="9" w:name="X7e3842cbececb8702767f08d82d3c74458dd200"/>
    <w:p>
      <w:pPr>
        <w:pStyle w:val="Heading2"/>
      </w:pPr>
      <w:r>
        <w:t xml:space="preserve">The setup: deliveries have already de-risked the volume debate</w:t>
      </w:r>
    </w:p>
    <w:p>
      <w:pPr>
        <w:pStyle w:val="FirstParagraph"/>
      </w:pPr>
      <w:r>
        <w:t xml:space="preserve">Tesla pre-reported Q2 production, deliveries, and energy-storage deployment on July 2:</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2026 operating metric</w:t>
            </w:r>
          </w:p>
        </w:tc>
        <w:tc>
          <w:tcPr/>
          <w:p>
            <w:pPr>
              <w:pStyle w:val="Compact"/>
              <w:jc w:val="right"/>
            </w:pPr>
            <w:r>
              <w:t xml:space="preserve">Result</w:t>
            </w:r>
          </w:p>
        </w:tc>
        <w:tc>
          <w:tcPr/>
          <w:p>
            <w:pPr>
              <w:pStyle w:val="Compact"/>
              <w:jc w:val="right"/>
            </w:pPr>
            <w:r>
              <w:t xml:space="preserve">Q/Q</w:t>
            </w:r>
          </w:p>
        </w:tc>
        <w:tc>
          <w:tcPr/>
          <w:p>
            <w:pPr>
              <w:pStyle w:val="Compact"/>
              <w:jc w:val="right"/>
            </w:pPr>
            <w:r>
              <w:t xml:space="preserve">Y/Y</w:t>
            </w:r>
          </w:p>
        </w:tc>
      </w:tr>
      <w:tr>
        <w:tc>
          <w:tcPr/>
          <w:p>
            <w:pPr>
              <w:pStyle w:val="Compact"/>
            </w:pPr>
            <w:r>
              <w:t xml:space="preserve">Vehicle production</w:t>
            </w:r>
          </w:p>
        </w:tc>
        <w:tc>
          <w:tcPr/>
          <w:p>
            <w:pPr>
              <w:pStyle w:val="Compact"/>
              <w:jc w:val="right"/>
            </w:pPr>
            <w:r>
              <w:t xml:space="preserve">451,758</w:t>
            </w:r>
          </w:p>
        </w:tc>
        <w:tc>
          <w:tcPr/>
          <w:p>
            <w:pPr>
              <w:pStyle w:val="Compact"/>
              <w:jc w:val="right"/>
            </w:pPr>
            <w:r>
              <w:t xml:space="preserve">+10.6%</w:t>
            </w:r>
          </w:p>
        </w:tc>
        <w:tc>
          <w:tcPr/>
          <w:p>
            <w:pPr>
              <w:pStyle w:val="Compact"/>
              <w:jc w:val="right"/>
            </w:pPr>
            <w:r>
              <w:t xml:space="preserve">+10.1%</w:t>
            </w:r>
          </w:p>
        </w:tc>
      </w:tr>
      <w:tr>
        <w:tc>
          <w:tcPr/>
          <w:p>
            <w:pPr>
              <w:pStyle w:val="Compact"/>
            </w:pPr>
            <w:r>
              <w:t xml:space="preserve">Vehicle deliveries</w:t>
            </w:r>
          </w:p>
        </w:tc>
        <w:tc>
          <w:tcPr/>
          <w:p>
            <w:pPr>
              <w:pStyle w:val="Compact"/>
              <w:jc w:val="right"/>
            </w:pPr>
            <w:r>
              <w:t xml:space="preserve">480,126</w:t>
            </w:r>
          </w:p>
        </w:tc>
        <w:tc>
          <w:tcPr/>
          <w:p>
            <w:pPr>
              <w:pStyle w:val="Compact"/>
              <w:jc w:val="right"/>
            </w:pPr>
            <w:r>
              <w:t xml:space="preserve">+34.1%</w:t>
            </w:r>
          </w:p>
        </w:tc>
        <w:tc>
          <w:tcPr/>
          <w:p>
            <w:pPr>
              <w:pStyle w:val="Compact"/>
              <w:jc w:val="right"/>
            </w:pPr>
            <w:r>
              <w:t xml:space="preserve">+25.0%</w:t>
            </w:r>
          </w:p>
        </w:tc>
      </w:tr>
      <w:tr>
        <w:tc>
          <w:tcPr/>
          <w:p>
            <w:pPr>
              <w:pStyle w:val="Compact"/>
            </w:pPr>
            <w:r>
              <w:t xml:space="preserve">Energy-storage deployments</w:t>
            </w:r>
          </w:p>
        </w:tc>
        <w:tc>
          <w:tcPr/>
          <w:p>
            <w:pPr>
              <w:pStyle w:val="Compact"/>
              <w:jc w:val="right"/>
            </w:pPr>
            <w:r>
              <w:t xml:space="preserve">13.5 GWh</w:t>
            </w:r>
          </w:p>
        </w:tc>
        <w:tc>
          <w:tcPr/>
          <w:p>
            <w:pPr>
              <w:pStyle w:val="Compact"/>
              <w:jc w:val="right"/>
            </w:pPr>
            <w:r>
              <w:t xml:space="preserve">+53.4%</w:t>
            </w:r>
          </w:p>
        </w:tc>
        <w:tc>
          <w:tcPr/>
          <w:p>
            <w:pPr>
              <w:pStyle w:val="Compact"/>
              <w:jc w:val="right"/>
            </w:pPr>
            <w:r>
              <w:t xml:space="preserve">+40.6%</w:t>
            </w:r>
          </w:p>
        </w:tc>
      </w:tr>
      <w:tr>
        <w:tc>
          <w:tcPr/>
          <w:p>
            <w:pPr>
              <w:pStyle w:val="Compact"/>
            </w:pPr>
            <w:r>
              <w:t xml:space="preserve">Model 3/Y deliveries</w:t>
            </w:r>
          </w:p>
        </w:tc>
        <w:tc>
          <w:tcPr/>
          <w:p>
            <w:pPr>
              <w:pStyle w:val="Compact"/>
              <w:jc w:val="right"/>
            </w:pPr>
            <w:r>
              <w:t xml:space="preserve">467,762</w:t>
            </w:r>
          </w:p>
        </w:tc>
        <w:tc>
          <w:tcPr/>
          <w:p>
            <w:pPr>
              <w:pStyle w:val="Compact"/>
              <w:jc w:val="right"/>
            </w:pPr>
            <w:r>
              <w:t xml:space="preserve">—</w:t>
            </w:r>
          </w:p>
        </w:tc>
        <w:tc>
          <w:tcPr/>
          <w:p>
            <w:pPr>
              <w:pStyle w:val="Compact"/>
              <w:jc w:val="right"/>
            </w:pPr>
            <w:r>
              <w:t xml:space="preserve">—</w:t>
            </w:r>
          </w:p>
        </w:tc>
      </w:tr>
      <w:tr>
        <w:tc>
          <w:tcPr/>
          <w:p>
            <w:pPr>
              <w:pStyle w:val="Compact"/>
            </w:pPr>
            <w:r>
              <w:t xml:space="preserve">Other-model deliveries</w:t>
            </w:r>
          </w:p>
        </w:tc>
        <w:tc>
          <w:tcPr/>
          <w:p>
            <w:pPr>
              <w:pStyle w:val="Compact"/>
              <w:jc w:val="right"/>
            </w:pPr>
            <w:r>
              <w:t xml:space="preserve">12,364</w:t>
            </w:r>
          </w:p>
        </w:tc>
        <w:tc>
          <w:tcPr/>
          <w:p>
            <w:pPr>
              <w:pStyle w:val="Compact"/>
              <w:jc w:val="right"/>
            </w:pPr>
            <w:r>
              <w:t xml:space="preserve">—</w:t>
            </w:r>
          </w:p>
        </w:tc>
        <w:tc>
          <w:tcPr/>
          <w:p>
            <w:pPr>
              <w:pStyle w:val="Compact"/>
              <w:jc w:val="right"/>
            </w:pPr>
            <w:r>
              <w:t xml:space="preserve">—</w:t>
            </w:r>
          </w:p>
        </w:tc>
      </w:tr>
    </w:tbl>
    <w:p>
      <w:pPr>
        <w:pStyle w:val="BodyText"/>
      </w:pPr>
      <w:r>
        <w:t xml:space="preserve">Deliveries were the clear headline: 480,126 units were substantially ahead of Q1’s 358,023 and above the prior-year Q2 total of 384,122. Production trailed deliveries by about 28,000 vehicles, versus production exceeding deliveries by about 50,000 in Q1—suggesting a meaningful inventory draw during the quarter rather than a buildup.</w:t>
      </w:r>
    </w:p>
    <w:p>
      <w:pPr>
        <w:pStyle w:val="BodyText"/>
      </w:pPr>
      <w:r>
        <w:t xml:space="preserve">That changes the earnings question.</w:t>
      </w:r>
      <w:r>
        <w:t xml:space="preserve"> </w:t>
      </w:r>
      <w:r>
        <w:rPr>
          <w:b/>
          <w:bCs/>
        </w:rPr>
        <w:t xml:space="preserve">Volume is known; conversion is not.</w:t>
      </w:r>
      <w:r>
        <w:t xml:space="preserve"> </w:t>
      </w:r>
      <w:r>
        <w:t xml:space="preserve">Investors will focus on whether the delivery strength reflects healthy underlying demand and favorable mix, or whether it was achieved through pricing, financing, incentives, and inventory actions that limit the financial benefit.</w:t>
      </w:r>
    </w:p>
    <w:bookmarkEnd w:id="9"/>
    <w:bookmarkStart w:id="13" w:name="what-matters-most-in-the-release"/>
    <w:p>
      <w:pPr>
        <w:pStyle w:val="Heading2"/>
      </w:pPr>
      <w:r>
        <w:t xml:space="preserve">What matters most in the release</w:t>
      </w:r>
    </w:p>
    <w:bookmarkStart w:id="10" w:name="Xc0779c3375e8e5514ba9098b56a9ebbcf2ff9c6"/>
    <w:p>
      <w:pPr>
        <w:pStyle w:val="Heading3"/>
      </w:pPr>
      <w:r>
        <w:t xml:space="preserve">1. Automotive revenue and gross-margin conversion</w:t>
      </w:r>
    </w:p>
    <w:p>
      <w:pPr>
        <w:pStyle w:val="FirstParagraph"/>
      </w:pPr>
      <w:r>
        <w:t xml:space="preserve">The key issue is how much of the Q2 delivery upside becomes automotive revenue and gross profit.</w:t>
      </w:r>
    </w:p>
    <w:p>
      <w:pPr>
        <w:pStyle w:val="BodyText"/>
      </w:pPr>
      <w:r>
        <w:t xml:space="preserve">In Q1, Tesla reported:</w:t>
      </w:r>
    </w:p>
    <w:p>
      <w:pPr>
        <w:pStyle w:val="Compact"/>
        <w:numPr>
          <w:ilvl w:val="0"/>
          <w:numId w:val="1001"/>
        </w:numPr>
      </w:pPr>
      <w:r>
        <w:rPr>
          <w:b/>
          <w:bCs/>
        </w:rPr>
        <w:t xml:space="preserve">$16.2 billion</w:t>
      </w:r>
      <w:r>
        <w:t xml:space="preserve"> </w:t>
      </w:r>
      <w:r>
        <w:t xml:space="preserve">of automotive revenue;</w:t>
      </w:r>
    </w:p>
    <w:p>
      <w:pPr>
        <w:pStyle w:val="Compact"/>
        <w:numPr>
          <w:ilvl w:val="0"/>
          <w:numId w:val="1001"/>
        </w:numPr>
      </w:pPr>
      <w:r>
        <w:rPr>
          <w:b/>
          <w:bCs/>
        </w:rPr>
        <w:t xml:space="preserve">21.1% GAAP automotive gross margin</w:t>
      </w:r>
      <w:r>
        <w:t xml:space="preserve">;</w:t>
      </w:r>
    </w:p>
    <w:p>
      <w:pPr>
        <w:pStyle w:val="Compact"/>
        <w:numPr>
          <w:ilvl w:val="0"/>
          <w:numId w:val="1001"/>
        </w:numPr>
      </w:pPr>
      <w:r>
        <w:rPr>
          <w:b/>
          <w:bCs/>
        </w:rPr>
        <w:t xml:space="preserve">19.2% automotive gross margin excluding regulatory credits</w:t>
      </w:r>
      <w:r>
        <w:t xml:space="preserve">;</w:t>
      </w:r>
    </w:p>
    <w:p>
      <w:pPr>
        <w:pStyle w:val="Compact"/>
        <w:numPr>
          <w:ilvl w:val="0"/>
          <w:numId w:val="1001"/>
        </w:numPr>
      </w:pPr>
      <w:r>
        <w:t xml:space="preserve">a sequential rise in inventory to</w:t>
      </w:r>
      <w:r>
        <w:t xml:space="preserve"> </w:t>
      </w:r>
      <w:r>
        <w:rPr>
          <w:b/>
          <w:bCs/>
        </w:rPr>
        <w:t xml:space="preserve">27 days of supply</w:t>
      </w:r>
      <w:r>
        <w:t xml:space="preserve">; and</w:t>
      </w:r>
    </w:p>
    <w:p>
      <w:pPr>
        <w:pStyle w:val="Compact"/>
        <w:numPr>
          <w:ilvl w:val="0"/>
          <w:numId w:val="1001"/>
        </w:numPr>
      </w:pPr>
      <w:r>
        <w:t xml:space="preserve">benefits from higher vehicle ASP, lower material costs, foreign exchange, ancillary sales, and certain warranty/tariff-related one-time items.</w:t>
      </w:r>
    </w:p>
    <w:p>
      <w:pPr>
        <w:pStyle w:val="FirstParagraph"/>
      </w:pPr>
      <w:r>
        <w:t xml:space="preserve">Q2 deliveries were 34% higher sequentially, but investors should not assume a proportional increase in automotive profit. The decisive disclosures will be:</w:t>
      </w:r>
    </w:p>
    <w:p>
      <w:pPr>
        <w:pStyle w:val="Compact"/>
        <w:numPr>
          <w:ilvl w:val="0"/>
          <w:numId w:val="1002"/>
        </w:numPr>
      </w:pPr>
      <w:r>
        <w:t xml:space="preserve">Vehicle ASP and regional/model mix;</w:t>
      </w:r>
    </w:p>
    <w:p>
      <w:pPr>
        <w:pStyle w:val="Compact"/>
        <w:numPr>
          <w:ilvl w:val="0"/>
          <w:numId w:val="1002"/>
        </w:numPr>
      </w:pPr>
      <w:r>
        <w:t xml:space="preserve">The scale of price, financing, or incentive support;</w:t>
      </w:r>
    </w:p>
    <w:p>
      <w:pPr>
        <w:pStyle w:val="Compact"/>
        <w:numPr>
          <w:ilvl w:val="0"/>
          <w:numId w:val="1002"/>
        </w:numPr>
      </w:pPr>
      <w:r>
        <w:t xml:space="preserve">Automotive gross margin excluding credits;</w:t>
      </w:r>
    </w:p>
    <w:p>
      <w:pPr>
        <w:pStyle w:val="Compact"/>
        <w:numPr>
          <w:ilvl w:val="0"/>
          <w:numId w:val="1002"/>
        </w:numPr>
      </w:pPr>
      <w:r>
        <w:t xml:space="preserve">Whether Q1’s one-time warranty/tariff benefits recur, reverse, or disappear;</w:t>
      </w:r>
    </w:p>
    <w:p>
      <w:pPr>
        <w:pStyle w:val="Compact"/>
        <w:numPr>
          <w:ilvl w:val="0"/>
          <w:numId w:val="1002"/>
        </w:numPr>
      </w:pPr>
      <w:r>
        <w:t xml:space="preserve">Regulatory-credit revenue; and</w:t>
      </w:r>
    </w:p>
    <w:p>
      <w:pPr>
        <w:pStyle w:val="Compact"/>
        <w:numPr>
          <w:ilvl w:val="0"/>
          <w:numId w:val="1002"/>
        </w:numPr>
      </w:pPr>
      <w:r>
        <w:t xml:space="preserve">Whether the inventory draw was economically attractive or required incremental commercial support.</w:t>
      </w:r>
    </w:p>
    <w:p>
      <w:pPr>
        <w:pStyle w:val="FirstParagraph"/>
      </w:pPr>
      <w:r>
        <w:rPr>
          <w:b/>
          <w:bCs/>
        </w:rPr>
        <w:t xml:space="preserve">Read-through:</w:t>
      </w:r>
      <w:r>
        <w:t xml:space="preserve"> </w:t>
      </w:r>
      <w:r>
        <w:t xml:space="preserve">A revenue beat accompanied by stable-to-improving ex-credit automotive margin would validate the view that Q2 demand improved meaningfully. Strong deliveries with weaker margins, however, would reinforce the concern that Tesla is trading volume for profitability.</w:t>
      </w:r>
    </w:p>
    <w:bookmarkEnd w:id="10"/>
    <w:bookmarkStart w:id="11" w:name="X7e3844b4d719762c2e8d8e72b29fd0d724070ad"/>
    <w:p>
      <w:pPr>
        <w:pStyle w:val="Heading3"/>
      </w:pPr>
      <w:r>
        <w:t xml:space="preserve">2. Energy storage is positioned to be the financial swing factor</w:t>
      </w:r>
    </w:p>
    <w:p>
      <w:pPr>
        <w:pStyle w:val="FirstParagraph"/>
      </w:pPr>
      <w:r>
        <w:t xml:space="preserve">Tesla deployed</w:t>
      </w:r>
      <w:r>
        <w:t xml:space="preserve"> </w:t>
      </w:r>
      <w:r>
        <w:rPr>
          <w:b/>
          <w:bCs/>
        </w:rPr>
        <w:t xml:space="preserve">13.5 GWh</w:t>
      </w:r>
      <w:r>
        <w:t xml:space="preserve"> </w:t>
      </w:r>
      <w:r>
        <w:t xml:space="preserve">of storage in Q2, up 53% sequentially and 41% year over year. That is especially important because Q1 energy-generation and storage revenue fell 12% year over year to $2.4 billion despite Tesla’s broader emphasis on the segment.</w:t>
      </w:r>
    </w:p>
    <w:p>
      <w:pPr>
        <w:pStyle w:val="BodyText"/>
      </w:pPr>
      <w:r>
        <w:t xml:space="preserve">The Q2 release should clarify whether the deployment surge translates into:</w:t>
      </w:r>
    </w:p>
    <w:p>
      <w:pPr>
        <w:pStyle w:val="Compact"/>
        <w:numPr>
          <w:ilvl w:val="0"/>
          <w:numId w:val="1003"/>
        </w:numPr>
      </w:pPr>
      <w:r>
        <w:t xml:space="preserve">Revenue acceleration;</w:t>
      </w:r>
    </w:p>
    <w:p>
      <w:pPr>
        <w:pStyle w:val="Compact"/>
        <w:numPr>
          <w:ilvl w:val="0"/>
          <w:numId w:val="1003"/>
        </w:numPr>
      </w:pPr>
      <w:r>
        <w:t xml:space="preserve">Higher energy gross profit;</w:t>
      </w:r>
    </w:p>
    <w:p>
      <w:pPr>
        <w:pStyle w:val="Compact"/>
        <w:numPr>
          <w:ilvl w:val="0"/>
          <w:numId w:val="1003"/>
        </w:numPr>
      </w:pPr>
      <w:r>
        <w:t xml:space="preserve">Greater Megapack contribution;</w:t>
      </w:r>
    </w:p>
    <w:p>
      <w:pPr>
        <w:pStyle w:val="Compact"/>
        <w:numPr>
          <w:ilvl w:val="0"/>
          <w:numId w:val="1003"/>
        </w:numPr>
      </w:pPr>
      <w:r>
        <w:t xml:space="preserve">Improved project timing and working-capital conversion; and</w:t>
      </w:r>
    </w:p>
    <w:p>
      <w:pPr>
        <w:pStyle w:val="Compact"/>
        <w:numPr>
          <w:ilvl w:val="0"/>
          <w:numId w:val="1003"/>
        </w:numPr>
      </w:pPr>
      <w:r>
        <w:t xml:space="preserve">Confidence in the late-2026 Megapack 3 / Megafactory Texas ramp.</w:t>
      </w:r>
    </w:p>
    <w:p>
      <w:pPr>
        <w:pStyle w:val="FirstParagraph"/>
      </w:pPr>
      <w:r>
        <w:t xml:space="preserve">A strong energy result could meaningfully diversify the earnings narrative away from auto pricing and margins. Conversely, another gap between deployments and recognized revenue would raise questions around timing, mix, and project economics.</w:t>
      </w:r>
    </w:p>
    <w:bookmarkEnd w:id="11"/>
    <w:bookmarkStart w:id="12" w:name="Xd7e368193944b6942237eb5142d4f598fe73aca"/>
    <w:p>
      <w:pPr>
        <w:pStyle w:val="Heading3"/>
      </w:pPr>
      <w:r>
        <w:t xml:space="preserve">3. Free cash flow versus AI, compute, and manufacturing investment</w:t>
      </w:r>
    </w:p>
    <w:p>
      <w:pPr>
        <w:pStyle w:val="FirstParagraph"/>
      </w:pPr>
      <w:r>
        <w:t xml:space="preserve">Tesla entered Q2 with</w:t>
      </w:r>
      <w:r>
        <w:t xml:space="preserve"> </w:t>
      </w:r>
      <m:oMath>
        <m:r>
          <m:t>44.7</m:t>
        </m:r>
        <m:r>
          <m:t>b</m:t>
        </m:r>
        <m:r>
          <m:t>i</m:t>
        </m:r>
        <m:r>
          <m:t>l</m:t>
        </m:r>
        <m:r>
          <m:t>l</m:t>
        </m:r>
        <m:r>
          <m:t>i</m:t>
        </m:r>
        <m:r>
          <m:t>o</m:t>
        </m:r>
        <m:r>
          <m:t>n</m:t>
        </m:r>
        <m:r>
          <m:rPr>
            <m:sty m:val="p"/>
          </m:rPr>
          <m:t>*</m:t>
        </m:r>
        <m:r>
          <m:rPr>
            <m:sty m:val="p"/>
          </m:rPr>
          <m:t>*</m:t>
        </m:r>
        <m:r>
          <m:t>o</m:t>
        </m:r>
        <m:r>
          <m:t>f</m:t>
        </m:r>
        <m:r>
          <m:t>c</m:t>
        </m:r>
        <m:r>
          <m:t>a</m:t>
        </m:r>
        <m:r>
          <m:t>s</m:t>
        </m:r>
        <m:r>
          <m:t>h</m:t>
        </m:r>
        <m:r>
          <m:rPr>
            <m:sty m:val="p"/>
          </m:rPr>
          <m:t>,</m:t>
        </m:r>
        <m:r>
          <m:t>c</m:t>
        </m:r>
        <m:r>
          <m:t>a</m:t>
        </m:r>
        <m:r>
          <m:t>s</m:t>
        </m:r>
        <m:r>
          <m:t>h</m:t>
        </m:r>
        <m:r>
          <m:t>e</m:t>
        </m:r>
        <m:r>
          <m:t>q</m:t>
        </m:r>
        <m:r>
          <m:t>u</m:t>
        </m:r>
        <m:r>
          <m:t>i</m:t>
        </m:r>
        <m:r>
          <m:t>v</m:t>
        </m:r>
        <m:r>
          <m:t>a</m:t>
        </m:r>
        <m:r>
          <m:t>l</m:t>
        </m:r>
        <m:r>
          <m:t>e</m:t>
        </m:r>
        <m:r>
          <m:t>n</m:t>
        </m:r>
        <m:r>
          <m:t>t</m:t>
        </m:r>
        <m:r>
          <m:t>s</m:t>
        </m:r>
        <m:r>
          <m:rPr>
            <m:sty m:val="p"/>
          </m:rPr>
          <m:t>,</m:t>
        </m:r>
        <m:r>
          <m:t>a</m:t>
        </m:r>
        <m:r>
          <m:t>n</m:t>
        </m:r>
        <m:r>
          <m:t>d</m:t>
        </m:r>
        <m:r>
          <m:t>s</m:t>
        </m:r>
        <m:r>
          <m:t>h</m:t>
        </m:r>
        <m:r>
          <m:t>o</m:t>
        </m:r>
        <m:r>
          <m:t>r</m:t>
        </m:r>
        <m:r>
          <m:t>t</m:t>
        </m:r>
        <m:r>
          <m:rPr>
            <m:sty m:val="p"/>
          </m:rPr>
          <m:t>−</m:t>
        </m:r>
        <m:r>
          <m:t>t</m:t>
        </m:r>
        <m:r>
          <m:t>e</m:t>
        </m:r>
        <m:r>
          <m:t>r</m:t>
        </m:r>
        <m:r>
          <m:t>m</m:t>
        </m:r>
        <m:r>
          <m:t>i</m:t>
        </m:r>
        <m:r>
          <m:t>n</m:t>
        </m:r>
        <m:r>
          <m:t>v</m:t>
        </m:r>
        <m:r>
          <m:t>e</m:t>
        </m:r>
        <m:r>
          <m:t>s</m:t>
        </m:r>
        <m:r>
          <m:t>t</m:t>
        </m:r>
        <m:r>
          <m:t>m</m:t>
        </m:r>
        <m:r>
          <m:t>e</m:t>
        </m:r>
        <m:r>
          <m:t>n</m:t>
        </m:r>
        <m:r>
          <m:t>t</m:t>
        </m:r>
        <m:r>
          <m:t>s</m:t>
        </m:r>
        <m:r>
          <m:rPr>
            <m:sty m:val="p"/>
          </m:rPr>
          <m:t>.</m:t>
        </m:r>
        <m:r>
          <m:t>Q</m:t>
        </m:r>
        <m:r>
          <m:t>1</m:t>
        </m:r>
        <m:r>
          <m:t>o</m:t>
        </m:r>
        <m:r>
          <m:t>p</m:t>
        </m:r>
        <m:r>
          <m:t>e</m:t>
        </m:r>
        <m:r>
          <m:t>r</m:t>
        </m:r>
        <m:r>
          <m:t>a</m:t>
        </m:r>
        <m:r>
          <m:t>t</m:t>
        </m:r>
        <m:r>
          <m:t>i</m:t>
        </m:r>
        <m:r>
          <m:t>n</m:t>
        </m:r>
        <m:r>
          <m:t>g</m:t>
        </m:r>
        <m:r>
          <m:t>c</m:t>
        </m:r>
        <m:r>
          <m:t>a</m:t>
        </m:r>
        <m:r>
          <m:t>s</m:t>
        </m:r>
        <m:r>
          <m:t>h</m:t>
        </m:r>
        <m:r>
          <m:t>f</m:t>
        </m:r>
        <m:r>
          <m:t>l</m:t>
        </m:r>
        <m:r>
          <m:t>o</m:t>
        </m:r>
        <m:r>
          <m:t>w</m:t>
        </m:r>
        <m:r>
          <m:t>w</m:t>
        </m:r>
        <m:r>
          <m:t>a</m:t>
        </m:r>
        <m:r>
          <m:t>s</m:t>
        </m:r>
        <m:r>
          <m:rPr>
            <m:sty m:val="p"/>
          </m:rPr>
          <m:t>*</m:t>
        </m:r>
        <m:r>
          <m:rPr>
            <m:sty m:val="p"/>
          </m:rPr>
          <m:t>*</m:t>
        </m:r>
      </m:oMath>
      <w:r>
        <w:rPr>
          <w:b/>
          <w:bCs/>
        </w:rPr>
        <w:t xml:space="preserve">3.9 billion</w:t>
      </w:r>
      <w:r>
        <w:t xml:space="preserve">, capex was</w:t>
      </w:r>
      <w:r>
        <w:t xml:space="preserve"> </w:t>
      </w:r>
      <m:oMath>
        <m:r>
          <m:t>2.5</m:t>
        </m:r>
        <m:r>
          <m:t>b</m:t>
        </m:r>
        <m:r>
          <m:t>i</m:t>
        </m:r>
        <m:r>
          <m:t>l</m:t>
        </m:r>
        <m:r>
          <m:t>l</m:t>
        </m:r>
        <m:r>
          <m:t>i</m:t>
        </m:r>
        <m:r>
          <m:t>o</m:t>
        </m:r>
        <m:r>
          <m:t>n</m:t>
        </m:r>
        <m:r>
          <m:rPr>
            <m:sty m:val="p"/>
          </m:rPr>
          <m:t>*</m:t>
        </m:r>
        <m:r>
          <m:rPr>
            <m:sty m:val="p"/>
          </m:rPr>
          <m:t>*</m:t>
        </m:r>
        <m:r>
          <m:rPr>
            <m:sty m:val="p"/>
          </m:rPr>
          <m:t>,</m:t>
        </m:r>
        <m:r>
          <m:t>a</m:t>
        </m:r>
        <m:r>
          <m:t>n</m:t>
        </m:r>
        <m:r>
          <m:t>d</m:t>
        </m:r>
        <m:r>
          <m:t>f</m:t>
        </m:r>
        <m:r>
          <m:t>r</m:t>
        </m:r>
        <m:r>
          <m:t>e</m:t>
        </m:r>
        <m:r>
          <m:t>e</m:t>
        </m:r>
        <m:r>
          <m:t>c</m:t>
        </m:r>
        <m:r>
          <m:t>a</m:t>
        </m:r>
        <m:r>
          <m:t>s</m:t>
        </m:r>
        <m:r>
          <m:t>h</m:t>
        </m:r>
        <m:r>
          <m:t>f</m:t>
        </m:r>
        <m:r>
          <m:t>l</m:t>
        </m:r>
        <m:r>
          <m:t>o</m:t>
        </m:r>
        <m:r>
          <m:t>w</m:t>
        </m:r>
        <m:r>
          <m:t>w</m:t>
        </m:r>
        <m:r>
          <m:t>a</m:t>
        </m:r>
        <m:r>
          <m:t>s</m:t>
        </m:r>
        <m:r>
          <m:rPr>
            <m:sty m:val="p"/>
          </m:rPr>
          <m:t>*</m:t>
        </m:r>
        <m:r>
          <m:rPr>
            <m:sty m:val="p"/>
          </m:rPr>
          <m:t>*</m:t>
        </m:r>
      </m:oMath>
      <w:r>
        <w:rPr>
          <w:b/>
          <w:bCs/>
        </w:rPr>
        <w:t xml:space="preserve">1.4 billion</w:t>
      </w:r>
      <w:r>
        <w:t xml:space="preserve">. But investment requirements are rising across AI training capacity, battery materials, Megapack capacity, Cybercab, Semi, Optimus, charging, and semiconductor initiatives.</w:t>
      </w:r>
    </w:p>
    <w:p>
      <w:pPr>
        <w:pStyle w:val="BodyText"/>
      </w:pPr>
      <w:r>
        <w:t xml:space="preserve">The investment case increasingly rests on Tesla’s ability to fund a broad set of capital-intensive programs while retaining balance-sheet flexibility. Investors should watch for:</w:t>
      </w:r>
    </w:p>
    <w:p>
      <w:pPr>
        <w:pStyle w:val="Compact"/>
        <w:numPr>
          <w:ilvl w:val="0"/>
          <w:numId w:val="1004"/>
        </w:numPr>
      </w:pPr>
      <w:r>
        <w:t xml:space="preserve">Q2 capex and full-year capex direction;</w:t>
      </w:r>
    </w:p>
    <w:p>
      <w:pPr>
        <w:pStyle w:val="Compact"/>
        <w:numPr>
          <w:ilvl w:val="0"/>
          <w:numId w:val="1004"/>
        </w:numPr>
      </w:pPr>
      <w:r>
        <w:t xml:space="preserve">Free-cash-flow conversion after the inventory draw;</w:t>
      </w:r>
    </w:p>
    <w:p>
      <w:pPr>
        <w:pStyle w:val="Compact"/>
        <w:numPr>
          <w:ilvl w:val="0"/>
          <w:numId w:val="1004"/>
        </w:numPr>
      </w:pPr>
      <w:r>
        <w:t xml:space="preserve">AI infrastructure spending, including Cortex and custom silicon;</w:t>
      </w:r>
    </w:p>
    <w:p>
      <w:pPr>
        <w:pStyle w:val="Compact"/>
        <w:numPr>
          <w:ilvl w:val="0"/>
          <w:numId w:val="1004"/>
        </w:numPr>
      </w:pPr>
      <w:r>
        <w:t xml:space="preserve">Updates on battery, lithium, cathode, and LFP manufacturing ramps; and</w:t>
      </w:r>
    </w:p>
    <w:p>
      <w:pPr>
        <w:pStyle w:val="Compact"/>
        <w:numPr>
          <w:ilvl w:val="0"/>
          <w:numId w:val="1004"/>
        </w:numPr>
      </w:pPr>
      <w:r>
        <w:t xml:space="preserve">Any incremental financing needs or investment commitments.</w:t>
      </w:r>
    </w:p>
    <w:p>
      <w:pPr>
        <w:pStyle w:val="FirstParagraph"/>
      </w:pPr>
      <w:r>
        <w:t xml:space="preserve">The bull case is that automotive and energy cash generation funds high-return software, fleet, and robotics opportunities. The bear case is that spending accelerates before autonomous-mobility and robotics revenue is visible.</w:t>
      </w:r>
    </w:p>
    <w:bookmarkEnd w:id="12"/>
    <w:bookmarkEnd w:id="13"/>
    <w:bookmarkStart w:id="17" w:name="the-call-matters-more-than-the-quarter"/>
    <w:p>
      <w:pPr>
        <w:pStyle w:val="Heading2"/>
      </w:pPr>
      <w:r>
        <w:t xml:space="preserve">The call matters more than the quarter</w:t>
      </w:r>
    </w:p>
    <w:p>
      <w:pPr>
        <w:pStyle w:val="FirstParagraph"/>
      </w:pPr>
      <w:r>
        <w:t xml:space="preserve">Tesla’s valuation is unlikely to turn solely on reported EPS. The call’s strategic commentary should carry more weight than a conventional auto earnings report.</w:t>
      </w:r>
    </w:p>
    <w:bookmarkStart w:id="14" w:name="X4e88b4900e2f2ac8649bb5ad8c05a588a41879b"/>
    <w:p>
      <w:pPr>
        <w:pStyle w:val="Heading3"/>
      </w:pPr>
      <w:r>
        <w:t xml:space="preserve">Robotaxi: tangible operating evidence is now required</w:t>
      </w:r>
    </w:p>
    <w:p>
      <w:pPr>
        <w:pStyle w:val="FirstParagraph"/>
      </w:pPr>
      <w:r>
        <w:t xml:space="preserve">In Q1, Tesla said it had ramping unsupervised operations in Austin, Dallas, and Houston, while preparing additional markets including Phoenix, Miami, Orlando, Tampa, Las Vegas, and the San Francisco Bay Area. It also reported that paid Robotaxi miles nearly doubled sequentially.</w:t>
      </w:r>
    </w:p>
    <w:p>
      <w:pPr>
        <w:pStyle w:val="BodyText"/>
      </w:pPr>
      <w:r>
        <w:t xml:space="preserve">For Q2, investors need evidence of</w:t>
      </w:r>
      <w:r>
        <w:t xml:space="preserve"> </w:t>
      </w:r>
      <w:r>
        <w:rPr>
          <w:b/>
          <w:bCs/>
        </w:rPr>
        <w:t xml:space="preserve">commercial progress</w:t>
      </w:r>
      <w:r>
        <w:t xml:space="preserve">, not just geographic ambition:</w:t>
      </w:r>
    </w:p>
    <w:p>
      <w:pPr>
        <w:pStyle w:val="Compact"/>
        <w:numPr>
          <w:ilvl w:val="0"/>
          <w:numId w:val="1005"/>
        </w:numPr>
      </w:pPr>
      <w:r>
        <w:t xml:space="preserve">Paid Robotaxi miles and rides;</w:t>
      </w:r>
    </w:p>
    <w:p>
      <w:pPr>
        <w:pStyle w:val="Compact"/>
        <w:numPr>
          <w:ilvl w:val="0"/>
          <w:numId w:val="1005"/>
        </w:numPr>
      </w:pPr>
      <w:r>
        <w:t xml:space="preserve">Fleet size and utilization;</w:t>
      </w:r>
    </w:p>
    <w:p>
      <w:pPr>
        <w:pStyle w:val="Compact"/>
        <w:numPr>
          <w:ilvl w:val="0"/>
          <w:numId w:val="1005"/>
        </w:numPr>
      </w:pPr>
      <w:r>
        <w:t xml:space="preserve">Service-area expansion;</w:t>
      </w:r>
    </w:p>
    <w:p>
      <w:pPr>
        <w:pStyle w:val="Compact"/>
        <w:numPr>
          <w:ilvl w:val="0"/>
          <w:numId w:val="1005"/>
        </w:numPr>
      </w:pPr>
      <w:r>
        <w:t xml:space="preserve">Safety, permitting, and operational constraints;</w:t>
      </w:r>
    </w:p>
    <w:p>
      <w:pPr>
        <w:pStyle w:val="Compact"/>
        <w:numPr>
          <w:ilvl w:val="0"/>
          <w:numId w:val="1005"/>
        </w:numPr>
      </w:pPr>
      <w:r>
        <w:t xml:space="preserve">Unit economics, even if only directional;</w:t>
      </w:r>
    </w:p>
    <w:p>
      <w:pPr>
        <w:pStyle w:val="Compact"/>
        <w:numPr>
          <w:ilvl w:val="0"/>
          <w:numId w:val="1005"/>
        </w:numPr>
      </w:pPr>
      <w:r>
        <w:t xml:space="preserve">Timing of Cybercab fleet integration; and</w:t>
      </w:r>
    </w:p>
    <w:p>
      <w:pPr>
        <w:pStyle w:val="Compact"/>
        <w:numPr>
          <w:ilvl w:val="0"/>
          <w:numId w:val="1005"/>
        </w:numPr>
      </w:pPr>
      <w:r>
        <w:t xml:space="preserve">The degree to which Tesla expects owned-fleet economics versus customer-owned autonomous vehicles to drive future monetization.</w:t>
      </w:r>
    </w:p>
    <w:p>
      <w:pPr>
        <w:pStyle w:val="FirstParagraph"/>
      </w:pPr>
      <w:r>
        <w:t xml:space="preserve">The most important distinction:</w:t>
      </w:r>
      <w:r>
        <w:t xml:space="preserve"> </w:t>
      </w:r>
      <w:r>
        <w:rPr>
          <w:b/>
          <w:bCs/>
        </w:rPr>
        <w:t xml:space="preserve">FSD (Supervised) subscriptions are a current software product; Robotaxi is the higher-value—but much less proven—autonomous-mobility opportunity.</w:t>
      </w:r>
      <w:r>
        <w:t xml:space="preserve"> </w:t>
      </w:r>
      <w:r>
        <w:t xml:space="preserve">Tesla must demonstrate a credible bridge between them.</w:t>
      </w:r>
    </w:p>
    <w:bookmarkEnd w:id="14"/>
    <w:bookmarkStart w:id="15" w:name="X9e2b022a7ecb1b2d61c61a229d50fc87932f1f3"/>
    <w:p>
      <w:pPr>
        <w:pStyle w:val="Heading3"/>
      </w:pPr>
      <w:r>
        <w:t xml:space="preserve">FSD subscriptions and software monetization</w:t>
      </w:r>
    </w:p>
    <w:p>
      <w:pPr>
        <w:pStyle w:val="FirstParagraph"/>
      </w:pPr>
      <w:r>
        <w:t xml:space="preserve">Tesla reported</w:t>
      </w:r>
      <w:r>
        <w:t xml:space="preserve"> </w:t>
      </w:r>
      <w:r>
        <w:rPr>
          <w:b/>
          <w:bCs/>
        </w:rPr>
        <w:t xml:space="preserve">1.28 million active FSD subscriptions</w:t>
      </w:r>
      <w:r>
        <w:t xml:space="preserve"> </w:t>
      </w:r>
      <w:r>
        <w:t xml:space="preserve">at the end of Q1, up 51% year over year, and shifted FSD toward a subscription-only model. Q2 commentary should address:</w:t>
      </w:r>
    </w:p>
    <w:p>
      <w:pPr>
        <w:pStyle w:val="Compact"/>
        <w:numPr>
          <w:ilvl w:val="0"/>
          <w:numId w:val="1006"/>
        </w:numPr>
      </w:pPr>
      <w:r>
        <w:t xml:space="preserve">Net subscriber additions;</w:t>
      </w:r>
    </w:p>
    <w:p>
      <w:pPr>
        <w:pStyle w:val="Compact"/>
        <w:numPr>
          <w:ilvl w:val="0"/>
          <w:numId w:val="1006"/>
        </w:numPr>
      </w:pPr>
      <w:r>
        <w:t xml:space="preserve">Attach rate on new vehicle sales;</w:t>
      </w:r>
    </w:p>
    <w:p>
      <w:pPr>
        <w:pStyle w:val="Compact"/>
        <w:numPr>
          <w:ilvl w:val="0"/>
          <w:numId w:val="1006"/>
        </w:numPr>
      </w:pPr>
      <w:r>
        <w:t xml:space="preserve">Churn and conversion dynamics;</w:t>
      </w:r>
    </w:p>
    <w:p>
      <w:pPr>
        <w:pStyle w:val="Compact"/>
        <w:numPr>
          <w:ilvl w:val="0"/>
          <w:numId w:val="1006"/>
        </w:numPr>
      </w:pPr>
      <w:r>
        <w:t xml:space="preserve">Geographic approvals, particularly in Europe and China;</w:t>
      </w:r>
    </w:p>
    <w:p>
      <w:pPr>
        <w:pStyle w:val="Compact"/>
        <w:numPr>
          <w:ilvl w:val="0"/>
          <w:numId w:val="1006"/>
        </w:numPr>
      </w:pPr>
      <w:r>
        <w:t xml:space="preserve">The effect of newer FSD releases on engagement; and</w:t>
      </w:r>
    </w:p>
    <w:p>
      <w:pPr>
        <w:pStyle w:val="Compact"/>
        <w:numPr>
          <w:ilvl w:val="0"/>
          <w:numId w:val="1006"/>
        </w:numPr>
      </w:pPr>
      <w:r>
        <w:t xml:space="preserve">Whether software and ancillary revenue is becoming material enough to offset auto cyclicality.</w:t>
      </w:r>
    </w:p>
    <w:p>
      <w:pPr>
        <w:pStyle w:val="FirstParagraph"/>
      </w:pPr>
      <w:r>
        <w:t xml:space="preserve">This is an underappreciated earnings lever: sustained FSD subscription growth could improve recurring revenue and gross-profit mix even if vehicle pricing remains competitive.</w:t>
      </w:r>
    </w:p>
    <w:bookmarkEnd w:id="15"/>
    <w:bookmarkStart w:id="16" w:name="Xe2e57e4fc57b0b1a2ed388ac54c3f87ccf90855"/>
    <w:p>
      <w:pPr>
        <w:pStyle w:val="Heading3"/>
      </w:pPr>
      <w:r>
        <w:t xml:space="preserve">Cybercab, Semi, Megapack 3, and Optimus: schedule discipline</w:t>
      </w:r>
    </w:p>
    <w:p>
      <w:pPr>
        <w:pStyle w:val="FirstParagraph"/>
      </w:pPr>
      <w:r>
        <w:t xml:space="preserve">Tesla’s Q1 outlook maintained that Cybercab, Tesla Semi, and Megapack 3 would begin volume production in 2026, while first-generation Optimus production lines were being installed.</w:t>
      </w:r>
    </w:p>
    <w:p>
      <w:pPr>
        <w:pStyle w:val="BodyText"/>
      </w:pPr>
      <w:r>
        <w:t xml:space="preserve">The market will be listening for whether management:</w:t>
      </w:r>
    </w:p>
    <w:p>
      <w:pPr>
        <w:pStyle w:val="Compact"/>
        <w:numPr>
          <w:ilvl w:val="0"/>
          <w:numId w:val="1007"/>
        </w:numPr>
      </w:pPr>
      <w:r>
        <w:rPr>
          <w:b/>
          <w:bCs/>
        </w:rPr>
        <w:t xml:space="preserve">Reaffirms 2026 volume-production timing</w:t>
      </w:r>
      <w:r>
        <w:t xml:space="preserve">;</w:t>
      </w:r>
    </w:p>
    <w:p>
      <w:pPr>
        <w:pStyle w:val="Compact"/>
        <w:numPr>
          <w:ilvl w:val="0"/>
          <w:numId w:val="1007"/>
        </w:numPr>
      </w:pPr>
      <w:r>
        <w:t xml:space="preserve">Provides a more precise production cadence or customer-delivery timetable;</w:t>
      </w:r>
    </w:p>
    <w:p>
      <w:pPr>
        <w:pStyle w:val="Compact"/>
        <w:numPr>
          <w:ilvl w:val="0"/>
          <w:numId w:val="1007"/>
        </w:numPr>
      </w:pPr>
      <w:r>
        <w:t xml:space="preserve">Identifies battery-pack capacity, supplier readiness, manufacturing yield, or permitting as constraints; and</w:t>
      </w:r>
    </w:p>
    <w:p>
      <w:pPr>
        <w:pStyle w:val="Compact"/>
        <w:numPr>
          <w:ilvl w:val="0"/>
          <w:numId w:val="1007"/>
        </w:numPr>
      </w:pPr>
      <w:r>
        <w:t xml:space="preserve">Quantifies expected capex or ramp costs.</w:t>
      </w:r>
    </w:p>
    <w:p>
      <w:pPr>
        <w:pStyle w:val="FirstParagraph"/>
      </w:pPr>
      <w:r>
        <w:t xml:space="preserve">Schedule slips would matter disproportionately because much of Tesla’s strategic premium is attached to future platforms rather than today’s auto earnings.</w:t>
      </w:r>
    </w:p>
    <w:bookmarkEnd w:id="16"/>
    <w:bookmarkEnd w:id="17"/>
    <w:bookmarkStart w:id="18" w:name="investor-scorecard"/>
    <w:p>
      <w:pPr>
        <w:pStyle w:val="Heading2"/>
      </w:pPr>
      <w:r>
        <w:t xml:space="preserve">Investor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Topic</w:t>
            </w:r>
          </w:p>
        </w:tc>
        <w:tc>
          <w:tcPr/>
          <w:p>
            <w:pPr>
              <w:pStyle w:val="Compact"/>
            </w:pPr>
            <w:r>
              <w:t xml:space="preserve">Constructive outcome</w:t>
            </w:r>
          </w:p>
        </w:tc>
        <w:tc>
          <w:tcPr/>
          <w:p>
            <w:pPr>
              <w:pStyle w:val="Compact"/>
            </w:pPr>
            <w:r>
              <w:t xml:space="preserve">Concerning outcome</w:t>
            </w:r>
          </w:p>
        </w:tc>
      </w:tr>
      <w:tr>
        <w:tc>
          <w:tcPr/>
          <w:p>
            <w:pPr>
              <w:pStyle w:val="Compact"/>
            </w:pPr>
            <w:r>
              <w:t xml:space="preserve">Automotive economics</w:t>
            </w:r>
          </w:p>
        </w:tc>
        <w:tc>
          <w:tcPr/>
          <w:p>
            <w:pPr>
              <w:pStyle w:val="Compact"/>
            </w:pPr>
            <w:r>
              <w:t xml:space="preserve">Strong revenue conversion and stable/improving ex-credit auto margin</w:t>
            </w:r>
          </w:p>
        </w:tc>
        <w:tc>
          <w:tcPr/>
          <w:p>
            <w:pPr>
              <w:pStyle w:val="Compact"/>
            </w:pPr>
            <w:r>
              <w:t xml:space="preserve">Delivery-led revenue growth but ASP/margin erosion</w:t>
            </w:r>
          </w:p>
        </w:tc>
      </w:tr>
      <w:tr>
        <w:tc>
          <w:tcPr/>
          <w:p>
            <w:pPr>
              <w:pStyle w:val="Compact"/>
            </w:pPr>
            <w:r>
              <w:t xml:space="preserve">Energy</w:t>
            </w:r>
          </w:p>
        </w:tc>
        <w:tc>
          <w:tcPr/>
          <w:p>
            <w:pPr>
              <w:pStyle w:val="Compact"/>
            </w:pPr>
            <w:r>
              <w:t xml:space="preserve">Deployment surge translates into revenue and gross-profit growth</w:t>
            </w:r>
          </w:p>
        </w:tc>
        <w:tc>
          <w:tcPr/>
          <w:p>
            <w:pPr>
              <w:pStyle w:val="Compact"/>
            </w:pPr>
            <w:r>
              <w:t xml:space="preserve">Revenue timing or margin disappoints despite 13.5 GWh deployment</w:t>
            </w:r>
          </w:p>
        </w:tc>
      </w:tr>
      <w:tr>
        <w:tc>
          <w:tcPr/>
          <w:p>
            <w:pPr>
              <w:pStyle w:val="Compact"/>
            </w:pPr>
            <w:r>
              <w:t xml:space="preserve">Cash flow</w:t>
            </w:r>
          </w:p>
        </w:tc>
        <w:tc>
          <w:tcPr/>
          <w:p>
            <w:pPr>
              <w:pStyle w:val="Compact"/>
            </w:pPr>
            <w:r>
              <w:t xml:space="preserve">Inventory draw supports operating cash flow and FCF after capex</w:t>
            </w:r>
          </w:p>
        </w:tc>
        <w:tc>
          <w:tcPr/>
          <w:p>
            <w:pPr>
              <w:pStyle w:val="Compact"/>
            </w:pPr>
            <w:r>
              <w:t xml:space="preserve">Working-capital benefit is weak or capex overwhelms FCF</w:t>
            </w:r>
          </w:p>
        </w:tc>
      </w:tr>
      <w:tr>
        <w:tc>
          <w:tcPr/>
          <w:p>
            <w:pPr>
              <w:pStyle w:val="Compact"/>
            </w:pPr>
            <w:r>
              <w:t xml:space="preserve">Robotaxi</w:t>
            </w:r>
          </w:p>
        </w:tc>
        <w:tc>
          <w:tcPr/>
          <w:p>
            <w:pPr>
              <w:pStyle w:val="Compact"/>
            </w:pPr>
            <w:r>
              <w:t xml:space="preserve">More paid miles, broader operations, clear commercial metrics</w:t>
            </w:r>
          </w:p>
        </w:tc>
        <w:tc>
          <w:tcPr/>
          <w:p>
            <w:pPr>
              <w:pStyle w:val="Compact"/>
            </w:pPr>
            <w:r>
              <w:t xml:space="preserve">Vague expansion language without fleet, utilization, or economics</w:t>
            </w:r>
          </w:p>
        </w:tc>
      </w:tr>
      <w:tr>
        <w:tc>
          <w:tcPr/>
          <w:p>
            <w:pPr>
              <w:pStyle w:val="Compact"/>
            </w:pPr>
            <w:r>
              <w:t xml:space="preserve">FSD</w:t>
            </w:r>
          </w:p>
        </w:tc>
        <w:tc>
          <w:tcPr/>
          <w:p>
            <w:pPr>
              <w:pStyle w:val="Compact"/>
            </w:pPr>
            <w:r>
              <w:t xml:space="preserve">Material subscriber growth and improved monetization</w:t>
            </w:r>
          </w:p>
        </w:tc>
        <w:tc>
          <w:tcPr/>
          <w:p>
            <w:pPr>
              <w:pStyle w:val="Compact"/>
            </w:pPr>
            <w:r>
              <w:t xml:space="preserve">Slowing adoption or little evidence of recurring-revenue scale</w:t>
            </w:r>
          </w:p>
        </w:tc>
      </w:tr>
      <w:tr>
        <w:tc>
          <w:tcPr/>
          <w:p>
            <w:pPr>
              <w:pStyle w:val="Compact"/>
            </w:pPr>
            <w:r>
              <w:t xml:space="preserve">New platforms</w:t>
            </w:r>
          </w:p>
        </w:tc>
        <w:tc>
          <w:tcPr/>
          <w:p>
            <w:pPr>
              <w:pStyle w:val="Compact"/>
            </w:pPr>
            <w:r>
              <w:t xml:space="preserve">Clear confirmation of Cybercab/Semi/Megapack 3 timing</w:t>
            </w:r>
          </w:p>
        </w:tc>
        <w:tc>
          <w:tcPr/>
          <w:p>
            <w:pPr>
              <w:pStyle w:val="Compact"/>
            </w:pPr>
            <w:r>
              <w:t xml:space="preserve">Ambiguous timing, higher capital intensity, or bottlenecks</w:t>
            </w:r>
          </w:p>
        </w:tc>
      </w:tr>
      <w:tr>
        <w:tc>
          <w:tcPr/>
          <w:p>
            <w:pPr>
              <w:pStyle w:val="Compact"/>
            </w:pPr>
            <w:r>
              <w:t xml:space="preserve">2026 outlook</w:t>
            </w:r>
          </w:p>
        </w:tc>
        <w:tc>
          <w:tcPr/>
          <w:p>
            <w:pPr>
              <w:pStyle w:val="Compact"/>
            </w:pPr>
            <w:r>
              <w:t xml:space="preserve">Confidence in demand, mix, capacity utilization, and cash generation</w:t>
            </w:r>
          </w:p>
        </w:tc>
        <w:tc>
          <w:tcPr/>
          <w:p>
            <w:pPr>
              <w:pStyle w:val="Compact"/>
            </w:pPr>
            <w:r>
              <w:t xml:space="preserve">No volume or profitability framework amid elevated investment</w:t>
            </w:r>
          </w:p>
        </w:tc>
      </w:tr>
    </w:tbl>
    <w:bookmarkEnd w:id="18"/>
    <w:bookmarkStart w:id="21" w:name="Xdd9454178028a06d76c34a33385f3b3c3e0ab2a"/>
    <w:p>
      <w:pPr>
        <w:pStyle w:val="Heading2"/>
      </w:pPr>
      <w:r>
        <w:t xml:space="preserve">Stock positioning and likely reaction function</w:t>
      </w:r>
    </w:p>
    <w:p>
      <w:pPr>
        <w:pStyle w:val="FirstParagraph"/>
      </w:pPr>
      <w:r>
        <w:t xml:space="preserve">TSLA closed at</w:t>
      </w:r>
      <w:r>
        <w:t xml:space="preserve"> </w:t>
      </w:r>
      <w:r>
        <w:rPr>
          <w:b/>
          <w:bCs/>
        </w:rPr>
        <w:t xml:space="preserve">$378.97 on July 21</w:t>
      </w:r>
      <w:r>
        <w:t xml:space="preserve">, down roughly</w:t>
      </w:r>
      <w:r>
        <w:t xml:space="preserve"> </w:t>
      </w:r>
      <w:r>
        <w:rPr>
          <w:b/>
          <w:bCs/>
        </w:rPr>
        <w:t xml:space="preserve">10.9% from July 1</w:t>
      </w:r>
      <w:r>
        <w:t xml:space="preserve"> </w:t>
      </w:r>
      <w:r>
        <w:t xml:space="preserve">but only about</w:t>
      </w:r>
      <w:r>
        <w:t xml:space="preserve"> </w:t>
      </w:r>
      <w:r>
        <w:rPr>
          <w:b/>
          <w:bCs/>
        </w:rPr>
        <w:t xml:space="preserve">2.2% below its April 22 close</w:t>
      </w:r>
      <w:r>
        <w:t xml:space="preserve">, immediately before Q1 earnings. The share-price setup implies investors are already braced for a large earnings reaction, but the direction will likely depend less on the already-reported delivery figure than on the combination of</w:t>
      </w:r>
      <w:r>
        <w:t xml:space="preserve"> </w:t>
      </w:r>
      <w:r>
        <w:rPr>
          <w:b/>
          <w:bCs/>
        </w:rPr>
        <w:t xml:space="preserve">margin, free cash flow, Robotaxi evidence, and 2026 product-ramp credibility</w:t>
      </w:r>
      <w:r>
        <w:t xml:space="preserve">.</w:t>
      </w:r>
    </w:p>
    <w:bookmarkStart w:id="19" w:name="bull-case"/>
    <w:p>
      <w:pPr>
        <w:pStyle w:val="Heading3"/>
      </w:pPr>
      <w:r>
        <w:t xml:space="preserve">Bull case</w:t>
      </w:r>
    </w:p>
    <w:p>
      <w:pPr>
        <w:pStyle w:val="Compact"/>
        <w:numPr>
          <w:ilvl w:val="0"/>
          <w:numId w:val="1008"/>
        </w:numPr>
      </w:pPr>
      <w:r>
        <w:t xml:space="preserve">Q2 revenue and automotive margins show that delivery growth was economically sound;</w:t>
      </w:r>
    </w:p>
    <w:p>
      <w:pPr>
        <w:pStyle w:val="Compact"/>
        <w:numPr>
          <w:ilvl w:val="0"/>
          <w:numId w:val="1008"/>
        </w:numPr>
      </w:pPr>
      <w:r>
        <w:t xml:space="preserve">Energy revenue and profit inflect with storage deployments;</w:t>
      </w:r>
    </w:p>
    <w:p>
      <w:pPr>
        <w:pStyle w:val="Compact"/>
        <w:numPr>
          <w:ilvl w:val="0"/>
          <w:numId w:val="1008"/>
        </w:numPr>
      </w:pPr>
      <w:r>
        <w:t xml:space="preserve">Free cash flow remains durable despite higher capex;</w:t>
      </w:r>
    </w:p>
    <w:p>
      <w:pPr>
        <w:pStyle w:val="Compact"/>
        <w:numPr>
          <w:ilvl w:val="0"/>
          <w:numId w:val="1008"/>
        </w:numPr>
      </w:pPr>
      <w:r>
        <w:t xml:space="preserve">Tesla provides measurable Robotaxi commercial traction; and</w:t>
      </w:r>
    </w:p>
    <w:p>
      <w:pPr>
        <w:pStyle w:val="Compact"/>
        <w:numPr>
          <w:ilvl w:val="0"/>
          <w:numId w:val="1008"/>
        </w:numPr>
      </w:pPr>
      <w:r>
        <w:t xml:space="preserve">Cybercab, Semi, Megapack 3, and Optimus timelines remain intact.</w:t>
      </w:r>
    </w:p>
    <w:bookmarkEnd w:id="19"/>
    <w:bookmarkStart w:id="20" w:name="bear-case"/>
    <w:p>
      <w:pPr>
        <w:pStyle w:val="Heading3"/>
      </w:pPr>
      <w:r>
        <w:t xml:space="preserve">Bear case</w:t>
      </w:r>
    </w:p>
    <w:p>
      <w:pPr>
        <w:pStyle w:val="Compact"/>
        <w:numPr>
          <w:ilvl w:val="0"/>
          <w:numId w:val="1009"/>
        </w:numPr>
      </w:pPr>
      <w:r>
        <w:t xml:space="preserve">Strong deliveries prove price- or incentive-dependent;</w:t>
      </w:r>
    </w:p>
    <w:p>
      <w:pPr>
        <w:pStyle w:val="Compact"/>
        <w:numPr>
          <w:ilvl w:val="0"/>
          <w:numId w:val="1009"/>
        </w:numPr>
      </w:pPr>
      <w:r>
        <w:t xml:space="preserve">Automotive margin compresses meaningfully;</w:t>
      </w:r>
    </w:p>
    <w:p>
      <w:pPr>
        <w:pStyle w:val="Compact"/>
        <w:numPr>
          <w:ilvl w:val="0"/>
          <w:numId w:val="1009"/>
        </w:numPr>
      </w:pPr>
      <w:r>
        <w:t xml:space="preserve">Energy deployment does not convert into reported financial performance;</w:t>
      </w:r>
    </w:p>
    <w:p>
      <w:pPr>
        <w:pStyle w:val="Compact"/>
        <w:numPr>
          <w:ilvl w:val="0"/>
          <w:numId w:val="1009"/>
        </w:numPr>
      </w:pPr>
      <w:r>
        <w:t xml:space="preserve">Capex and AI spending rise faster than operating cash flow; and</w:t>
      </w:r>
    </w:p>
    <w:p>
      <w:pPr>
        <w:pStyle w:val="Compact"/>
        <w:numPr>
          <w:ilvl w:val="0"/>
          <w:numId w:val="1009"/>
        </w:numPr>
      </w:pPr>
      <w:r>
        <w:t xml:space="preserve">Autonomy, Cybercab, or Optimus updates remain aspirational rather than operational.</w:t>
      </w:r>
    </w:p>
    <w:bookmarkEnd w:id="20"/>
    <w:bookmarkEnd w:id="21"/>
    <w:bookmarkStart w:id="22" w:name="bottom-line"/>
    <w:p>
      <w:pPr>
        <w:pStyle w:val="Heading2"/>
      </w:pPr>
      <w:r>
        <w:t xml:space="preserve">Bottom line</w:t>
      </w:r>
    </w:p>
    <w:p>
      <w:pPr>
        <w:pStyle w:val="FirstParagraph"/>
      </w:pPr>
      <w:r>
        <w:t xml:space="preserve">Tesla enters Q2 with a</w:t>
      </w:r>
      <w:r>
        <w:t xml:space="preserve"> </w:t>
      </w:r>
      <w:r>
        <w:rPr>
          <w:b/>
          <w:bCs/>
        </w:rPr>
        <w:t xml:space="preserve">favorable volume setup</w:t>
      </w:r>
      <w:r>
        <w:t xml:space="preserve">: deliveries rose 25% year over year and energy-storage deployments reached a record 13.5 GWh. The report therefore becomes a test of</w:t>
      </w:r>
      <w:r>
        <w:t xml:space="preserve"> </w:t>
      </w:r>
      <w:r>
        <w:rPr>
          <w:b/>
          <w:bCs/>
        </w:rPr>
        <w:t xml:space="preserve">quality of growth</w:t>
      </w:r>
      <w:r>
        <w:t xml:space="preserve">.</w:t>
      </w:r>
    </w:p>
    <w:p>
      <w:pPr>
        <w:pStyle w:val="BodyText"/>
      </w:pPr>
      <w:r>
        <w:t xml:space="preserve">For investors, the priority order is:</w:t>
      </w:r>
    </w:p>
    <w:p>
      <w:pPr>
        <w:pStyle w:val="Compact"/>
        <w:numPr>
          <w:ilvl w:val="0"/>
          <w:numId w:val="1010"/>
        </w:numPr>
      </w:pPr>
      <w:r>
        <w:rPr>
          <w:b/>
          <w:bCs/>
        </w:rPr>
        <w:t xml:space="preserve">Automotive gross margin excluding credits and ASP/mix;</w:t>
      </w:r>
    </w:p>
    <w:p>
      <w:pPr>
        <w:pStyle w:val="Compact"/>
        <w:numPr>
          <w:ilvl w:val="0"/>
          <w:numId w:val="1010"/>
        </w:numPr>
      </w:pPr>
      <w:r>
        <w:rPr>
          <w:b/>
          <w:bCs/>
        </w:rPr>
        <w:t xml:space="preserve">Energy revenue and gross-profit conversion;</w:t>
      </w:r>
    </w:p>
    <w:p>
      <w:pPr>
        <w:pStyle w:val="Compact"/>
        <w:numPr>
          <w:ilvl w:val="0"/>
          <w:numId w:val="1010"/>
        </w:numPr>
      </w:pPr>
      <w:r>
        <w:rPr>
          <w:b/>
          <w:bCs/>
        </w:rPr>
        <w:t xml:space="preserve">Free cash flow after elevated capex;</w:t>
      </w:r>
    </w:p>
    <w:p>
      <w:pPr>
        <w:pStyle w:val="Compact"/>
        <w:numPr>
          <w:ilvl w:val="0"/>
          <w:numId w:val="1010"/>
        </w:numPr>
      </w:pPr>
      <w:r>
        <w:rPr>
          <w:b/>
          <w:bCs/>
        </w:rPr>
        <w:t xml:space="preserve">Robotaxi operating metrics and commercialization evidence;</w:t>
      </w:r>
    </w:p>
    <w:p>
      <w:pPr>
        <w:pStyle w:val="Compact"/>
        <w:numPr>
          <w:ilvl w:val="0"/>
          <w:numId w:val="1010"/>
        </w:numPr>
      </w:pPr>
      <w:r>
        <w:rPr>
          <w:b/>
          <w:bCs/>
        </w:rPr>
        <w:t xml:space="preserve">FSD subscriber momentum;</w:t>
      </w:r>
      <w:r>
        <w:t xml:space="preserve"> </w:t>
      </w:r>
      <w:r>
        <w:t xml:space="preserve">and</w:t>
      </w:r>
    </w:p>
    <w:p>
      <w:pPr>
        <w:pStyle w:val="Compact"/>
        <w:numPr>
          <w:ilvl w:val="0"/>
          <w:numId w:val="1010"/>
        </w:numPr>
      </w:pPr>
      <w:r>
        <w:rPr>
          <w:b/>
          <w:bCs/>
        </w:rPr>
        <w:t xml:space="preserve">Execution timing for Cybercab, Semi, Megapack 3, and Optimus.</w:t>
      </w:r>
    </w:p>
    <w:p>
      <w:pPr>
        <w:pStyle w:val="FirstParagraph"/>
      </w:pPr>
      <w:r>
        <w:t xml:space="preserve">A conventional earnings beat without progress on those strategic milestones may not be enough. Conversely, credible evidence that Tesla can convert its delivery rebound and energy scale into margin, cash flow, and autonomous-services traction would be the more important positive signal.</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2026-07-22T00:48:14Z</dcterms:created>
  <dcterms:modified xsi:type="dcterms:W3CDTF">2026-07-22T00:48:14Z</dcterms:modified>
</cp:coreProperties>
</file>

<file path=docProps/custom.xml><?xml version="1.0" encoding="utf-8"?>
<Properties xmlns="http://schemas.openxmlformats.org/officeDocument/2006/custom-properties" xmlns:vt="http://schemas.openxmlformats.org/officeDocument/2006/docPropsVTypes"/>
</file>