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Tesla, Inc. (TSLA)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Tesla, Inc.</w:t>
            </w:r>
          </w:p>
        </w:tc>
      </w:tr>
      <w:tr>
        <w:tc>
          <w:tcPr>
            <w:tcW w:type="dxa" w:w="4320"/>
          </w:tcPr>
          <w:p>
            <w:r>
              <w:rPr>
                <w:rFonts w:ascii="Calibri" w:hAnsi="Calibri"/>
                <w:b/>
                <w:sz w:val="22"/>
              </w:rPr>
              <w:t>Ticker</w:t>
            </w:r>
          </w:p>
        </w:tc>
        <w:tc>
          <w:tcPr>
            <w:tcW w:type="dxa" w:w="4320"/>
          </w:tcPr>
          <w:p>
            <w:r>
              <w:rPr>
                <w:rFonts w:ascii="Calibri" w:hAnsi="Calibri"/>
                <w:sz w:val="22"/>
              </w:rPr>
              <w:t>TSLA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22, 2026 (after market close)</w:t>
            </w:r>
          </w:p>
        </w:tc>
      </w:tr>
      <w:tr>
        <w:tc>
          <w:tcPr>
            <w:tcW w:type="dxa" w:w="4320"/>
          </w:tcPr>
          <w:p>
            <w:r>
              <w:rPr>
                <w:rFonts w:ascii="Calibri" w:hAnsi="Calibri"/>
                <w:b/>
                <w:sz w:val="22"/>
              </w:rPr>
              <w:t>Prepared Date</w:t>
            </w:r>
          </w:p>
        </w:tc>
        <w:tc>
          <w:tcPr>
            <w:tcW w:type="dxa" w:w="4320"/>
          </w:tcPr>
          <w:p>
            <w:r>
              <w:rPr>
                <w:rFonts w:ascii="Calibri" w:hAnsi="Calibri"/>
                <w:sz w:val="22"/>
              </w:rPr>
              <w:t>July 21, 2026</w:t>
            </w:r>
          </w:p>
        </w:tc>
      </w:tr>
      <w:tr>
        <w:tc>
          <w:tcPr>
            <w:tcW w:type="dxa" w:w="4320"/>
          </w:tcPr>
          <w:p>
            <w:r>
              <w:rPr>
                <w:rFonts w:ascii="Calibri" w:hAnsi="Calibri"/>
                <w:b/>
                <w:sz w:val="22"/>
              </w:rPr>
              <w:t>Last Earnings</w:t>
            </w:r>
          </w:p>
        </w:tc>
        <w:tc>
          <w:tcPr>
            <w:tcW w:type="dxa" w:w="4320"/>
          </w:tcPr>
          <w:p>
            <w:r>
              <w:rPr>
                <w:rFonts w:ascii="Calibri" w:hAnsi="Calibri"/>
                <w:sz w:val="22"/>
              </w:rPr>
              <w:t>April 22,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strongly bullish — deliveries already printed at 480,126 (a massive ~18% beat vs. ~406K consensus), making the Q2 revenue and margin print the key swing factor; the bar on automotive gross margin ex-credits (~18.1% consensus) is the single biggest variable heading into the call.</w:t>
      </w:r>
    </w:p>
    <w:p>
      <w:r>
        <w:rPr>
          <w:rFonts w:ascii="Calibri" w:hAnsi="Calibri"/>
          <w:b/>
          <w:color w:val="525866"/>
          <w:sz w:val="22"/>
        </w:rPr>
        <w:t xml:space="preserve">Bar: </w:t>
      </w:r>
      <w:r>
        <w:rPr>
          <w:rFonts w:ascii="Calibri" w:hAnsi="Calibri"/>
          <w:color w:val="525866"/>
          <w:sz w:val="22"/>
        </w:rPr>
        <w:t xml:space="preserve">Consensus heading into Q2 was set at $26.7B revenue and $0.55 diluted operating EPS — a meaningful step-up from Q1's $22.4B — but the delivery beat of ~74K units above consensus effectively pre-validates the top-line, making the bar on automotive gross margin ex-credits (consensus ~18.1%) the real test. </w:t>
      </w:r>
    </w:p>
    <w:p>
      <w:r>
        <w:rPr>
          <w:rFonts w:ascii="Calibri" w:hAnsi="Calibri"/>
          <w:b/>
          <w:color w:val="525866"/>
          <w:sz w:val="22"/>
        </w:rPr>
        <w:t xml:space="preserve">Guidance/Tone: </w:t>
      </w:r>
      <w:r>
        <w:rPr>
          <w:rFonts w:ascii="Calibri" w:hAnsi="Calibri"/>
          <w:color w:val="525866"/>
          <w:sz w:val="22"/>
        </w:rPr>
        <w:t xml:space="preserve">Management's posture on the Q1 call was explicitly aggressive — CapEx raised again to over $25B for 2026, negative FCF guided for the rest of the year, and Optimus production start flagged for late July/August. The tone has shifted firmly from automotive-centric to physical AI company, with Robotaxi expansion (Dallas, Houston) and FSD EU approval as near-term catalysts. </w:t>
      </w:r>
    </w:p>
    <w:p>
      <w:r>
        <w:rPr>
          <w:rFonts w:ascii="Calibri" w:hAnsi="Calibri"/>
          <w:b/>
          <w:color w:val="525866"/>
          <w:sz w:val="22"/>
        </w:rPr>
        <w:t xml:space="preserve">Estimate Trajectory: </w:t>
      </w:r>
      <w:r>
        <w:rPr>
          <w:rFonts w:ascii="Calibri" w:hAnsi="Calibri"/>
          <w:color w:val="525866"/>
          <w:sz w:val="22"/>
        </w:rPr>
        <w:t xml:space="preserve">Post-Q1 earnings (as of April 29, 2026), Q2 2026 revenue consensus stood at $24.6B and has since risen to $26.7B — a ~$2.1B upward revision driven by the delivery beat — while operating EPS moved from $0.47 to $0.55. The revision trajectory is tracking with the delivery outperformance, but margin estimates remain a potential source of upside or downside surprise given Q1's one-time warranty true-downs (~$230M) and tariff benefits (~$250M energy) that will not repeat. </w:t>
      </w:r>
    </w:p>
    <w:p>
      <w:r>
        <w:rPr>
          <w:rFonts w:ascii="Calibri" w:hAnsi="Calibri"/>
          <w:b/>
          <w:color w:val="525866"/>
          <w:sz w:val="22"/>
        </w:rPr>
        <w:t xml:space="preserve">Stock Setup: </w:t>
      </w:r>
      <w:r>
        <w:rPr>
          <w:rFonts w:ascii="Calibri" w:hAnsi="Calibri"/>
          <w:color w:val="525866"/>
          <w:sz w:val="22"/>
        </w:rPr>
        <w:t xml:space="preserve">TSLA has underperformed since Q1 earnings — down ~2.2% vs. CARZ +9.8% and SPY +5.2% — despite the delivery beat, suggesting the market is skeptical about margin sustainability and the pace of Robotaxi/Optimus monetization. The stock trades at a premium multiple almost entirely on AI/autonomy optionality, meaning any margin disappointment or cautious tone on Cybercab ramp could pressure shares even on a delivery beat. </w:t>
      </w:r>
    </w:p>
    <w:p>
      <w:r>
        <w:rPr>
          <w:rFonts w:ascii="Calibri" w:hAnsi="Calibri"/>
          <w:b/>
          <w:color w:val="525866"/>
          <w:sz w:val="22"/>
        </w:rPr>
        <w:t xml:space="preserve">Wildcard: </w:t>
      </w:r>
      <w:r>
        <w:rPr>
          <w:rFonts w:ascii="Calibri" w:hAnsi="Calibri"/>
          <w:color w:val="525866"/>
          <w:sz w:val="22"/>
        </w:rPr>
        <w:t>The single biggest swing factor is whether management provides a concrete Cybercab production ramp timeline and any early Robotaxi revenue figures — even a small disclosed revenue number from the Austin/Dallas/Houston fleet would be a significant positive catalyst, while silence or a further CapEx raise without a clearer monetization path could disappoint a market that has been waiting for the AI revenue inflection.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The delivery beat of ~480K vs. ~406K consensus is already in the books, making </w:t>
      </w:r>
      <w:r>
        <w:rPr>
          <w:rFonts w:ascii="Calibri" w:hAnsi="Calibri"/>
          <w:b/>
          <w:color w:val="525866"/>
          <w:sz w:val="22"/>
        </w:rPr>
        <w:t>automotive gross margin ex-credits</w:t>
      </w:r>
      <w:r>
        <w:rPr>
          <w:rFonts w:ascii="Calibri" w:hAnsi="Calibri"/>
          <w:color w:val="525866"/>
          <w:sz w:val="22"/>
        </w:rPr>
        <w:t xml:space="preserve"> the primary swing factor — consensus sits at ~18.1%, but Q1's one-time benefits (~$230M warranty true-downs) will not repeat, creating genuine two-way risk around the margin print.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$22.4B</w:t>
            </w:r>
          </w:p>
        </w:tc>
        <w:tc>
          <w:tcPr>
            <w:tcW w:type="dxa" w:w="1234"/>
          </w:tcPr>
          <w:p>
            <w:r>
              <w:rPr>
                <w:rFonts w:ascii="Calibri" w:hAnsi="Calibri"/>
                <w:sz w:val="22"/>
              </w:rPr>
              <w:t>$22.5B</w:t>
            </w:r>
          </w:p>
        </w:tc>
        <w:tc>
          <w:tcPr>
            <w:tcW w:type="dxa" w:w="1234"/>
          </w:tcPr>
          <w:p>
            <w:r>
              <w:rPr>
                <w:rFonts w:ascii="Calibri" w:hAnsi="Calibri"/>
                <w:sz w:val="22"/>
              </w:rPr>
              <w:t>$26.7B</w:t>
            </w:r>
          </w:p>
        </w:tc>
        <w:tc>
          <w:tcPr>
            <w:tcW w:type="dxa" w:w="1234"/>
          </w:tcPr>
          <w:p>
            <w:r>
              <w:rPr>
                <w:rFonts w:ascii="Calibri" w:hAnsi="Calibri"/>
                <w:sz w:val="22"/>
              </w:rPr>
              <w:t>+18.6% YoY</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Total Deliveries (K units)</w:t>
            </w:r>
          </w:p>
        </w:tc>
        <w:tc>
          <w:tcPr>
            <w:tcW w:type="dxa" w:w="1234"/>
          </w:tcPr>
          <w:p>
            <w:r>
              <w:rPr>
                <w:rFonts w:ascii="Calibri" w:hAnsi="Calibri"/>
                <w:sz w:val="22"/>
              </w:rPr>
              <w:t>358K</w:t>
            </w:r>
          </w:p>
        </w:tc>
        <w:tc>
          <w:tcPr>
            <w:tcW w:type="dxa" w:w="1234"/>
          </w:tcPr>
          <w:p>
            <w:r>
              <w:rPr>
                <w:rFonts w:ascii="Calibri" w:hAnsi="Calibri"/>
                <w:sz w:val="22"/>
              </w:rPr>
              <w:t>384K</w:t>
            </w:r>
          </w:p>
        </w:tc>
        <w:tc>
          <w:tcPr>
            <w:tcW w:type="dxa" w:w="1234"/>
          </w:tcPr>
          <w:p>
            <w:r>
              <w:rPr>
                <w:rFonts w:ascii="Calibri" w:hAnsi="Calibri"/>
                <w:sz w:val="22"/>
              </w:rPr>
              <w:t>447K (pre-print consensus)</w:t>
            </w:r>
          </w:p>
        </w:tc>
        <w:tc>
          <w:tcPr>
            <w:tcW w:type="dxa" w:w="1234"/>
          </w:tcPr>
          <w:p>
            <w:r>
              <w:rPr>
                <w:rFonts w:ascii="Calibri" w:hAnsi="Calibri"/>
                <w:sz w:val="22"/>
              </w:rPr>
              <w:t>+25.0% YoY</w:t>
            </w:r>
          </w:p>
        </w:tc>
        <w:tc>
          <w:tcPr>
            <w:tcW w:type="dxa" w:w="1234"/>
          </w:tcPr>
          <w:p>
            <w:r>
              <w:rPr>
                <w:rFonts w:ascii="Calibri" w:hAnsi="Calibri"/>
                <w:sz w:val="22"/>
              </w:rPr>
              <w:t>No specific Q2 guidance; 2026 full-year volume growth expected</w:t>
            </w:r>
          </w:p>
        </w:tc>
        <w:tc>
          <w:tcPr>
            <w:tcW w:type="dxa" w:w="1234"/>
          </w:tcPr>
          <w:p>
            <w:r>
              <w:rPr>
                <w:rFonts w:ascii="Calibri" w:hAnsi="Calibri"/>
                <w:sz w:val="22"/>
              </w:rPr>
              <w:t>N/A</w:t>
            </w:r>
          </w:p>
        </w:tc>
      </w:tr>
      <w:tr>
        <w:tc>
          <w:tcPr>
            <w:tcW w:type="dxa" w:w="1234"/>
          </w:tcPr>
          <w:p>
            <w:r>
              <w:rPr>
                <w:rFonts w:ascii="Calibri" w:hAnsi="Calibri"/>
                <w:sz w:val="22"/>
              </w:rPr>
              <w:t>Actual Q2 Deliveries (reported July 2)</w:t>
            </w:r>
          </w:p>
        </w:tc>
        <w:tc>
          <w:tcPr>
            <w:tcW w:type="dxa" w:w="1234"/>
          </w:tcPr>
          <w:p>
            <w:r>
              <w:rPr>
                <w:rFonts w:ascii="Calibri" w:hAnsi="Calibri"/>
                <w:sz w:val="22"/>
              </w:rPr>
              <w:t>358K</w:t>
            </w:r>
          </w:p>
        </w:tc>
        <w:tc>
          <w:tcPr>
            <w:tcW w:type="dxa" w:w="1234"/>
          </w:tcPr>
          <w:p>
            <w:r>
              <w:rPr>
                <w:rFonts w:ascii="Calibri" w:hAnsi="Calibri"/>
                <w:sz w:val="22"/>
              </w:rPr>
              <w:t>384K</w:t>
            </w:r>
          </w:p>
        </w:tc>
        <w:tc>
          <w:tcPr>
            <w:tcW w:type="dxa" w:w="1234"/>
          </w:tcPr>
          <w:p>
            <w:r>
              <w:rPr>
                <w:rFonts w:ascii="Calibri" w:hAnsi="Calibri"/>
                <w:sz w:val="22"/>
              </w:rPr>
              <w:t>480K (ACTUAL — beat by ~18%)</w:t>
            </w:r>
          </w:p>
        </w:tc>
        <w:tc>
          <w:tcPr>
            <w:tcW w:type="dxa" w:w="1234"/>
          </w:tcPr>
          <w:p>
            <w:r>
              <w:rPr>
                <w:rFonts w:ascii="Calibri" w:hAnsi="Calibri"/>
                <w:sz w:val="22"/>
              </w:rPr>
              <w:t>+25.0% YoY</w:t>
            </w:r>
          </w:p>
        </w:tc>
        <w:tc>
          <w:tcPr>
            <w:tcW w:type="dxa" w:w="1234"/>
          </w:tcPr>
          <w:p>
            <w:r>
              <w:rPr>
                <w:rFonts w:ascii="Calibri" w:hAnsi="Calibri"/>
                <w:sz w:val="22"/>
              </w:rPr>
              <w:t>N/A</w:t>
            </w:r>
          </w:p>
        </w:tc>
        <w:tc>
          <w:tcPr>
            <w:tcW w:type="dxa" w:w="1234"/>
          </w:tcPr>
          <w:p>
            <w:r>
              <w:rPr>
                <w:rFonts w:ascii="Calibri" w:hAnsi="Calibri"/>
                <w:sz w:val="22"/>
              </w:rPr>
              <w:t>+18.2% vs. consensus</w:t>
            </w:r>
          </w:p>
        </w:tc>
      </w:tr>
      <w:tr>
        <w:tc>
          <w:tcPr>
            <w:tcW w:type="dxa" w:w="1234"/>
          </w:tcPr>
          <w:p>
            <w:r>
              <w:rPr>
                <w:rFonts w:ascii="Calibri" w:hAnsi="Calibri"/>
                <w:sz w:val="22"/>
              </w:rPr>
              <w:t>Auto Gross Margin ex-Credits (%)</w:t>
            </w:r>
          </w:p>
        </w:tc>
        <w:tc>
          <w:tcPr>
            <w:tcW w:type="dxa" w:w="1234"/>
          </w:tcPr>
          <w:p>
            <w:r>
              <w:rPr>
                <w:rFonts w:ascii="Calibri" w:hAnsi="Calibri"/>
                <w:sz w:val="22"/>
              </w:rPr>
              <w:t>19.2%</w:t>
            </w:r>
          </w:p>
        </w:tc>
        <w:tc>
          <w:tcPr>
            <w:tcW w:type="dxa" w:w="1234"/>
          </w:tcPr>
          <w:p>
            <w:r>
              <w:rPr>
                <w:rFonts w:ascii="Calibri" w:hAnsi="Calibri"/>
                <w:sz w:val="22"/>
              </w:rPr>
              <w:t>14.96%</w:t>
            </w:r>
          </w:p>
        </w:tc>
        <w:tc>
          <w:tcPr>
            <w:tcW w:type="dxa" w:w="1234"/>
          </w:tcPr>
          <w:p>
            <w:r>
              <w:rPr>
                <w:rFonts w:ascii="Calibri" w:hAnsi="Calibri"/>
                <w:sz w:val="22"/>
              </w:rPr>
              <w:t>~18.1%</w:t>
            </w:r>
          </w:p>
        </w:tc>
        <w:tc>
          <w:tcPr>
            <w:tcW w:type="dxa" w:w="1234"/>
          </w:tcPr>
          <w:p>
            <w:r>
              <w:rPr>
                <w:rFonts w:ascii="Calibri" w:hAnsi="Calibri"/>
                <w:sz w:val="22"/>
              </w:rPr>
              <w:t>+310 bps YoY</w:t>
            </w:r>
          </w:p>
        </w:tc>
        <w:tc>
          <w:tcPr>
            <w:tcW w:type="dxa" w:w="1234"/>
          </w:tcPr>
          <w:p>
            <w:r>
              <w:rPr>
                <w:rFonts w:ascii="Calibri" w:hAnsi="Calibri"/>
                <w:sz w:val="22"/>
              </w:rPr>
              <w:t>Margin compression expected from one-time Q1 items not repeating; tariff &amp; interest rate headwinds flagged</w:t>
            </w:r>
          </w:p>
        </w:tc>
        <w:tc>
          <w:tcPr>
            <w:tcW w:type="dxa" w:w="1234"/>
          </w:tcPr>
          <w:p>
            <w:r>
              <w:rPr>
                <w:rFonts w:ascii="Calibri" w:hAnsi="Calibri"/>
                <w:sz w:val="22"/>
              </w:rPr>
              <w:t>N/A (no explicit guidance)</w:t>
            </w:r>
          </w:p>
        </w:tc>
      </w:tr>
      <w:tr>
        <w:tc>
          <w:tcPr>
            <w:tcW w:type="dxa" w:w="1234"/>
          </w:tcPr>
          <w:p>
            <w:r>
              <w:rPr>
                <w:rFonts w:ascii="Calibri" w:hAnsi="Calibri"/>
                <w:sz w:val="22"/>
              </w:rPr>
              <w:t>Energy Storage Deployed (GWh)</w:t>
            </w:r>
          </w:p>
        </w:tc>
        <w:tc>
          <w:tcPr>
            <w:tcW w:type="dxa" w:w="1234"/>
          </w:tcPr>
          <w:p>
            <w:r>
              <w:rPr>
                <w:rFonts w:ascii="Calibri" w:hAnsi="Calibri"/>
                <w:sz w:val="22"/>
              </w:rPr>
              <w:t>8.8 GWh</w:t>
            </w:r>
          </w:p>
        </w:tc>
        <w:tc>
          <w:tcPr>
            <w:tcW w:type="dxa" w:w="1234"/>
          </w:tcPr>
          <w:p>
            <w:r>
              <w:rPr>
                <w:rFonts w:ascii="Calibri" w:hAnsi="Calibri"/>
                <w:sz w:val="22"/>
              </w:rPr>
              <w:t>9.6 GWh</w:t>
            </w:r>
          </w:p>
        </w:tc>
        <w:tc>
          <w:tcPr>
            <w:tcW w:type="dxa" w:w="1234"/>
          </w:tcPr>
          <w:p>
            <w:r>
              <w:rPr>
                <w:rFonts w:ascii="Calibri" w:hAnsi="Calibri"/>
                <w:sz w:val="22"/>
              </w:rPr>
              <w:t>~14.1 GWh</w:t>
            </w:r>
          </w:p>
        </w:tc>
        <w:tc>
          <w:tcPr>
            <w:tcW w:type="dxa" w:w="1234"/>
          </w:tcPr>
          <w:p>
            <w:r>
              <w:rPr>
                <w:rFonts w:ascii="Calibri" w:hAnsi="Calibri"/>
                <w:sz w:val="22"/>
              </w:rPr>
              <w:t>+40.6% YoY</w:t>
            </w:r>
          </w:p>
        </w:tc>
        <w:tc>
          <w:tcPr>
            <w:tcW w:type="dxa" w:w="1234"/>
          </w:tcPr>
          <w:p>
            <w:r>
              <w:rPr>
                <w:rFonts w:ascii="Calibri" w:hAnsi="Calibri"/>
                <w:sz w:val="22"/>
              </w:rPr>
              <w:t>2026 deployments expected above 2025 levels (2025: ~36.8 GWh total)</w:t>
            </w:r>
          </w:p>
        </w:tc>
        <w:tc>
          <w:tcPr>
            <w:tcW w:type="dxa" w:w="1234"/>
          </w:tcPr>
          <w:p>
            <w:r>
              <w:rPr>
                <w:rFonts w:ascii="Calibri" w:hAnsi="Calibri"/>
                <w:sz w:val="22"/>
              </w:rPr>
              <w:t>N/A</w:t>
            </w:r>
          </w:p>
        </w:tc>
      </w:tr>
      <w:tr>
        <w:tc>
          <w:tcPr>
            <w:tcW w:type="dxa" w:w="1234"/>
          </w:tcPr>
          <w:p>
            <w:r>
              <w:rPr>
                <w:rFonts w:ascii="Calibri" w:hAnsi="Calibri"/>
                <w:sz w:val="22"/>
              </w:rPr>
              <w:t>Actual Q2 Energy Deployed (reported July 2)</w:t>
            </w:r>
          </w:p>
        </w:tc>
        <w:tc>
          <w:tcPr>
            <w:tcW w:type="dxa" w:w="1234"/>
          </w:tcPr>
          <w:p>
            <w:r>
              <w:rPr>
                <w:rFonts w:ascii="Calibri" w:hAnsi="Calibri"/>
                <w:sz w:val="22"/>
              </w:rPr>
              <w:t>8.8 GWh</w:t>
            </w:r>
          </w:p>
        </w:tc>
        <w:tc>
          <w:tcPr>
            <w:tcW w:type="dxa" w:w="1234"/>
          </w:tcPr>
          <w:p>
            <w:r>
              <w:rPr>
                <w:rFonts w:ascii="Calibri" w:hAnsi="Calibri"/>
                <w:sz w:val="22"/>
              </w:rPr>
              <w:t>9.6 GWh</w:t>
            </w:r>
          </w:p>
        </w:tc>
        <w:tc>
          <w:tcPr>
            <w:tcW w:type="dxa" w:w="1234"/>
          </w:tcPr>
          <w:p>
            <w:r>
              <w:rPr>
                <w:rFonts w:ascii="Calibri" w:hAnsi="Calibri"/>
                <w:sz w:val="22"/>
              </w:rPr>
              <w:t>13.5 GWh (ACTUAL)</w:t>
            </w:r>
          </w:p>
        </w:tc>
        <w:tc>
          <w:tcPr>
            <w:tcW w:type="dxa" w:w="1234"/>
          </w:tcPr>
          <w:p>
            <w:r>
              <w:rPr>
                <w:rFonts w:ascii="Calibri" w:hAnsi="Calibri"/>
                <w:sz w:val="22"/>
              </w:rPr>
              <w:t>+40.6% YoY</w:t>
            </w:r>
          </w:p>
        </w:tc>
        <w:tc>
          <w:tcPr>
            <w:tcW w:type="dxa" w:w="1234"/>
          </w:tcPr>
          <w:p>
            <w:r>
              <w:rPr>
                <w:rFonts w:ascii="Calibri" w:hAnsi="Calibri"/>
                <w:sz w:val="22"/>
              </w:rPr>
              <w:t>N/A</w:t>
            </w:r>
          </w:p>
        </w:tc>
        <w:tc>
          <w:tcPr>
            <w:tcW w:type="dxa" w:w="1234"/>
          </w:tcPr>
          <w:p>
            <w:r>
              <w:rPr>
                <w:rFonts w:ascii="Calibri" w:hAnsi="Calibri"/>
                <w:sz w:val="22"/>
              </w:rPr>
              <w:t>-4.2% vs. ~14.1 GWh consensus</w:t>
            </w:r>
          </w:p>
        </w:tc>
      </w:tr>
      <w:tr>
        <w:tc>
          <w:tcPr>
            <w:tcW w:type="dxa" w:w="1234"/>
          </w:tcPr>
          <w:p>
            <w:r>
              <w:rPr>
                <w:rFonts w:ascii="Calibri" w:hAnsi="Calibri"/>
                <w:sz w:val="22"/>
              </w:rPr>
              <w:t>Energy Gross Margin (%)</w:t>
            </w:r>
          </w:p>
        </w:tc>
        <w:tc>
          <w:tcPr>
            <w:tcW w:type="dxa" w:w="1234"/>
          </w:tcPr>
          <w:p>
            <w:r>
              <w:rPr>
                <w:rFonts w:ascii="Calibri" w:hAnsi="Calibri"/>
                <w:sz w:val="22"/>
              </w:rPr>
              <w:t>39.5%</w:t>
            </w:r>
          </w:p>
        </w:tc>
        <w:tc>
          <w:tcPr>
            <w:tcW w:type="dxa" w:w="1234"/>
          </w:tcPr>
          <w:p>
            <w:r>
              <w:rPr>
                <w:rFonts w:ascii="Calibri" w:hAnsi="Calibri"/>
                <w:sz w:val="22"/>
              </w:rPr>
              <w:t>30.3%</w:t>
            </w:r>
          </w:p>
        </w:tc>
        <w:tc>
          <w:tcPr>
            <w:tcW w:type="dxa" w:w="1234"/>
          </w:tcPr>
          <w:p>
            <w:r>
              <w:rPr>
                <w:rFonts w:ascii="Calibri" w:hAnsi="Calibri"/>
                <w:sz w:val="22"/>
              </w:rPr>
              <w:t>~30.1%</w:t>
            </w:r>
          </w:p>
        </w:tc>
        <w:tc>
          <w:tcPr>
            <w:tcW w:type="dxa" w:w="1234"/>
          </w:tcPr>
          <w:p>
            <w:r>
              <w:rPr>
                <w:rFonts w:ascii="Calibri" w:hAnsi="Calibri"/>
                <w:sz w:val="22"/>
              </w:rPr>
              <w:t>~flat YoY</w:t>
            </w:r>
          </w:p>
        </w:tc>
        <w:tc>
          <w:tcPr>
            <w:tcW w:type="dxa" w:w="1234"/>
          </w:tcPr>
          <w:p>
            <w:r>
              <w:rPr>
                <w:rFonts w:ascii="Calibri" w:hAnsi="Calibri"/>
                <w:sz w:val="22"/>
              </w:rPr>
              <w:t>Compression expected from competition &amp; tariffs; Q1 39.5% included ~$250M one-time tariff benefit</w:t>
            </w:r>
          </w:p>
        </w:tc>
        <w:tc>
          <w:tcPr>
            <w:tcW w:type="dxa" w:w="1234"/>
          </w:tcPr>
          <w:p>
            <w:r>
              <w:rPr>
                <w:rFonts w:ascii="Calibri" w:hAnsi="Calibri"/>
                <w:sz w:val="22"/>
              </w:rPr>
              <w:t>N/A</w:t>
            </w:r>
          </w:p>
        </w:tc>
      </w:tr>
      <w:tr>
        <w:tc>
          <w:tcPr>
            <w:tcW w:type="dxa" w:w="1234"/>
          </w:tcPr>
          <w:p>
            <w:r>
              <w:rPr>
                <w:rFonts w:ascii="Calibri" w:hAnsi="Calibri"/>
                <w:sz w:val="22"/>
              </w:rPr>
              <w:t>Diluted Operating EPS ($)</w:t>
            </w:r>
          </w:p>
        </w:tc>
        <w:tc>
          <w:tcPr>
            <w:tcW w:type="dxa" w:w="1234"/>
          </w:tcPr>
          <w:p>
            <w:r>
              <w:rPr>
                <w:rFonts w:ascii="Calibri" w:hAnsi="Calibri"/>
                <w:sz w:val="22"/>
              </w:rPr>
              <w:t>$0.41</w:t>
            </w:r>
          </w:p>
        </w:tc>
        <w:tc>
          <w:tcPr>
            <w:tcW w:type="dxa" w:w="1234"/>
          </w:tcPr>
          <w:p>
            <w:r>
              <w:rPr>
                <w:rFonts w:ascii="Calibri" w:hAnsi="Calibri"/>
                <w:sz w:val="22"/>
              </w:rPr>
              <w:t>$0.40</w:t>
            </w:r>
          </w:p>
        </w:tc>
        <w:tc>
          <w:tcPr>
            <w:tcW w:type="dxa" w:w="1234"/>
          </w:tcPr>
          <w:p>
            <w:r>
              <w:rPr>
                <w:rFonts w:ascii="Calibri" w:hAnsi="Calibri"/>
                <w:sz w:val="22"/>
              </w:rPr>
              <w:t>$0.55</w:t>
            </w:r>
          </w:p>
        </w:tc>
        <w:tc>
          <w:tcPr>
            <w:tcW w:type="dxa" w:w="1234"/>
          </w:tcPr>
          <w:p>
            <w:r>
              <w:rPr>
                <w:rFonts w:ascii="Calibri" w:hAnsi="Calibri"/>
                <w:sz w:val="22"/>
              </w:rPr>
              <w:t>+37.5% YoY</w:t>
            </w:r>
          </w:p>
        </w:tc>
        <w:tc>
          <w:tcPr>
            <w:tcW w:type="dxa" w:w="1234"/>
          </w:tcPr>
          <w:p>
            <w:r>
              <w:rPr>
                <w:rFonts w:ascii="Calibri" w:hAnsi="Calibri"/>
                <w:sz w:val="22"/>
              </w:rPr>
              <w:t>No specific EPS guidance</w:t>
            </w:r>
          </w:p>
        </w:tc>
        <w:tc>
          <w:tcPr>
            <w:tcW w:type="dxa" w:w="1234"/>
          </w:tcPr>
          <w:p>
            <w:r>
              <w:rPr>
                <w:rFonts w:ascii="Calibri" w:hAnsi="Calibri"/>
                <w:sz w:val="22"/>
              </w:rPr>
              <w:t>N/A</w:t>
            </w:r>
          </w:p>
        </w:tc>
      </w:tr>
      <w:tr>
        <w:tc>
          <w:tcPr>
            <w:tcW w:type="dxa" w:w="1234"/>
          </w:tcPr>
          <w:p>
            <w:r>
              <w:rPr>
                <w:rFonts w:ascii="Calibri" w:hAnsi="Calibri"/>
                <w:sz w:val="22"/>
              </w:rPr>
              <w:t>Operating Income - Operating ($B)</w:t>
            </w:r>
          </w:p>
        </w:tc>
        <w:tc>
          <w:tcPr>
            <w:tcW w:type="dxa" w:w="1234"/>
          </w:tcPr>
          <w:p>
            <w:r>
              <w:rPr>
                <w:rFonts w:ascii="Calibri" w:hAnsi="Calibri"/>
                <w:sz w:val="22"/>
              </w:rPr>
              <w:t>$1.97B</w:t>
            </w:r>
          </w:p>
        </w:tc>
        <w:tc>
          <w:tcPr>
            <w:tcW w:type="dxa" w:w="1234"/>
          </w:tcPr>
          <w:p>
            <w:r>
              <w:rPr>
                <w:rFonts w:ascii="Calibri" w:hAnsi="Calibri"/>
                <w:sz w:val="22"/>
              </w:rPr>
              <w:t>$1.56B</w:t>
            </w:r>
          </w:p>
        </w:tc>
        <w:tc>
          <w:tcPr>
            <w:tcW w:type="dxa" w:w="1234"/>
          </w:tcPr>
          <w:p>
            <w:r>
              <w:rPr>
                <w:rFonts w:ascii="Calibri" w:hAnsi="Calibri"/>
                <w:sz w:val="22"/>
              </w:rPr>
              <w:t>$2.33B</w:t>
            </w:r>
          </w:p>
        </w:tc>
        <w:tc>
          <w:tcPr>
            <w:tcW w:type="dxa" w:w="1234"/>
          </w:tcPr>
          <w:p>
            <w:r>
              <w:rPr>
                <w:rFonts w:ascii="Calibri" w:hAnsi="Calibri"/>
                <w:sz w:val="22"/>
              </w:rPr>
              <w:t>+49.4% YoY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$1.44B</w:t>
            </w:r>
          </w:p>
        </w:tc>
        <w:tc>
          <w:tcPr>
            <w:tcW w:type="dxa" w:w="1234"/>
          </w:tcPr>
          <w:p>
            <w:r>
              <w:rPr>
                <w:rFonts w:ascii="Calibri" w:hAnsi="Calibri"/>
                <w:sz w:val="22"/>
              </w:rPr>
              <w:t>$0.15B</w:t>
            </w:r>
          </w:p>
        </w:tc>
        <w:tc>
          <w:tcPr>
            <w:tcW w:type="dxa" w:w="1234"/>
          </w:tcPr>
          <w:p>
            <w:r>
              <w:rPr>
                <w:rFonts w:ascii="Calibri" w:hAnsi="Calibri"/>
                <w:sz w:val="22"/>
              </w:rPr>
              <w:t>-$2.58B</w:t>
            </w:r>
          </w:p>
        </w:tc>
        <w:tc>
          <w:tcPr>
            <w:tcW w:type="dxa" w:w="1234"/>
          </w:tcPr>
          <w:p>
            <w:r>
              <w:rPr>
                <w:rFonts w:ascii="Calibri" w:hAnsi="Calibri"/>
                <w:sz w:val="22"/>
              </w:rPr>
              <w:t>N/M (negative guided)</w:t>
            </w:r>
          </w:p>
        </w:tc>
        <w:tc>
          <w:tcPr>
            <w:tcW w:type="dxa" w:w="1234"/>
          </w:tcPr>
          <w:p>
            <w:r>
              <w:rPr>
                <w:rFonts w:ascii="Calibri" w:hAnsi="Calibri"/>
                <w:sz w:val="22"/>
              </w:rPr>
              <w:t>Negative FCF guided for rest of 2026 due to &gt;$25B CapEx</w:t>
            </w:r>
          </w:p>
        </w:tc>
        <w:tc>
          <w:tcPr>
            <w:tcW w:type="dxa" w:w="1234"/>
          </w:tcPr>
          <w:p>
            <w:r>
              <w:rPr>
                <w:rFonts w:ascii="Calibri" w:hAnsi="Calibri"/>
                <w:sz w:val="22"/>
              </w:rPr>
              <w:t>Consensus above guidance midpoint (FCF less negative than feared)</w:t>
            </w:r>
          </w:p>
        </w:tc>
      </w:tr>
      <w:tr>
        <w:tc>
          <w:tcPr>
            <w:tcW w:type="dxa" w:w="1234"/>
          </w:tcPr>
          <w:p>
            <w:r>
              <w:rPr>
                <w:rFonts w:ascii="Calibri" w:hAnsi="Calibri"/>
                <w:sz w:val="22"/>
              </w:rPr>
              <w:t>Active FSD Subscriptions (M)</w:t>
            </w:r>
          </w:p>
        </w:tc>
        <w:tc>
          <w:tcPr>
            <w:tcW w:type="dxa" w:w="1234"/>
          </w:tcPr>
          <w:p>
            <w:r>
              <w:rPr>
                <w:rFonts w:ascii="Calibri" w:hAnsi="Calibri"/>
                <w:sz w:val="22"/>
              </w:rPr>
              <w:t>~1.28M</w:t>
            </w:r>
          </w:p>
        </w:tc>
        <w:tc>
          <w:tcPr>
            <w:tcW w:type="dxa" w:w="1234"/>
          </w:tcPr>
          <w:p>
            <w:r>
              <w:rPr>
                <w:rFonts w:ascii="Calibri" w:hAnsi="Calibri"/>
                <w:sz w:val="22"/>
              </w:rPr>
              <w:t>~0.95M</w:t>
            </w:r>
          </w:p>
        </w:tc>
        <w:tc>
          <w:tcPr>
            <w:tcW w:type="dxa" w:w="1234"/>
          </w:tcPr>
          <w:p>
            <w:r>
              <w:rPr>
                <w:rFonts w:ascii="Calibri" w:hAnsi="Calibri"/>
                <w:sz w:val="22"/>
              </w:rPr>
              <w:t>~1.40M</w:t>
            </w:r>
          </w:p>
        </w:tc>
        <w:tc>
          <w:tcPr>
            <w:tcW w:type="dxa" w:w="1234"/>
          </w:tcPr>
          <w:p>
            <w:r>
              <w:rPr>
                <w:rFonts w:ascii="Calibri" w:hAnsi="Calibri"/>
                <w:sz w:val="22"/>
              </w:rPr>
              <w:t>+47.4% YoY</w:t>
            </w:r>
          </w:p>
        </w:tc>
        <w:tc>
          <w:tcPr>
            <w:tcW w:type="dxa" w:w="1234"/>
          </w:tcPr>
          <w:p>
            <w:r>
              <w:rPr>
                <w:rFonts w:ascii="Calibri" w:hAnsi="Calibri"/>
                <w:sz w:val="22"/>
              </w:rPr>
              <w:t>EU-wide FSD approval targeted Q2; China broader approval targeted Q3</w:t>
            </w:r>
          </w:p>
        </w:tc>
        <w:tc>
          <w:tcPr>
            <w:tcW w:type="dxa" w:w="1234"/>
          </w:tcPr>
          <w:p>
            <w:r>
              <w:rPr>
                <w:rFonts w:ascii="Calibri" w:hAnsi="Calibri"/>
                <w:sz w:val="22"/>
              </w:rPr>
              <w:t>N/A</w:t>
            </w:r>
          </w:p>
        </w:tc>
      </w:tr>
    </w:tbl>
    <w:p>
      <w:r>
        <w:rPr>
          <w:rFonts w:ascii="Calibri" w:hAnsi="Calibri"/>
          <w:i/>
          <w:color w:val="525866"/>
          <w:sz w:val="22"/>
        </w:rPr>
        <w:t>Sources: Visible Alpha Consensus and Actuals Data; Tesla Q2 2026 Production &amp; Deliveries Press Release (July 2, 2026); Tesla Q1 2026 Earnings Call (April 22,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$25.2B</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$22.5B</w:t>
            </w:r>
          </w:p>
        </w:tc>
        <w:tc>
          <w:tcPr>
            <w:tcW w:type="dxa" w:w="1728"/>
          </w:tcPr>
          <w:p>
            <w:r>
              <w:rPr>
                <w:rFonts w:ascii="Calibri" w:hAnsi="Calibri"/>
                <w:sz w:val="22"/>
              </w:rPr>
              <w:t>$22.7B</w:t>
            </w:r>
          </w:p>
        </w:tc>
        <w:tc>
          <w:tcPr>
            <w:tcW w:type="dxa" w:w="1728"/>
          </w:tcPr>
          <w:p>
            <w:r>
              <w:rPr>
                <w:rFonts w:ascii="Calibri" w:hAnsi="Calibri"/>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$28.1B</w:t>
            </w:r>
          </w:p>
        </w:tc>
        <w:tc>
          <w:tcPr>
            <w:tcW w:type="dxa" w:w="1728"/>
          </w:tcPr>
          <w:p>
            <w:r>
              <w:rPr>
                <w:rFonts w:ascii="Calibri" w:hAnsi="Calibri"/>
                <w:sz w:val="22"/>
              </w:rPr>
              <w:t>$26.6B</w:t>
            </w:r>
          </w:p>
        </w:tc>
        <w:tc>
          <w:tcPr>
            <w:tcW w:type="dxa" w:w="1728"/>
          </w:tcPr>
          <w:p>
            <w:r>
              <w:rPr>
                <w:rFonts w:ascii="Calibri" w:hAnsi="Calibri"/>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$24.9B</w:t>
            </w:r>
          </w:p>
        </w:tc>
        <w:tc>
          <w:tcPr>
            <w:tcW w:type="dxa" w:w="1728"/>
          </w:tcPr>
          <w:p>
            <w:r>
              <w:rPr>
                <w:rFonts w:ascii="Calibri" w:hAnsi="Calibri"/>
                <w:sz w:val="22"/>
              </w:rPr>
              <w:t>$25.1B</w:t>
            </w:r>
          </w:p>
        </w:tc>
        <w:tc>
          <w:tcPr>
            <w:tcW w:type="dxa" w:w="1728"/>
          </w:tcPr>
          <w:p>
            <w:r>
              <w:rPr>
                <w:rFonts w:ascii="Calibri" w:hAnsi="Calibri"/>
                <w:sz w:val="22"/>
              </w:rPr>
              <w:t>-0.9%</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$22.4B</w:t>
            </w:r>
          </w:p>
        </w:tc>
        <w:tc>
          <w:tcPr>
            <w:tcW w:type="dxa" w:w="1728"/>
          </w:tcPr>
          <w:p>
            <w:r>
              <w:rPr>
                <w:rFonts w:ascii="Calibri" w:hAnsi="Calibri"/>
                <w:sz w:val="22"/>
              </w:rPr>
              <w:t>$22.1B</w:t>
            </w:r>
          </w:p>
        </w:tc>
        <w:tc>
          <w:tcPr>
            <w:tcW w:type="dxa" w:w="1728"/>
          </w:tcPr>
          <w:p>
            <w:r>
              <w:rPr>
                <w:rFonts w:ascii="Calibri" w:hAnsi="Calibri"/>
                <w:sz w:val="22"/>
              </w:rPr>
              <w:t>+1.4%</w:t>
            </w:r>
          </w:p>
        </w:tc>
        <w:tc>
          <w:tcPr>
            <w:tcW w:type="dxa" w:w="1728"/>
          </w:tcPr>
          <w:p>
            <w:r>
              <w:rPr>
                <w:rFonts w:ascii="Calibri" w:hAnsi="Calibri"/>
                <w:b/>
                <w:color w:val="30A46C"/>
                <w:sz w:val="22"/>
              </w:rPr>
              <w:t>BEAT</w:t>
            </w:r>
          </w:p>
        </w:tc>
      </w:tr>
    </w:tbl>
    <w:p>
      <w:pPr>
        <w:pStyle w:val="Heading4"/>
      </w:pPr>
      <w:r>
        <w:rPr>
          <w:rFonts w:ascii="Calibri" w:hAnsi="Calibri"/>
          <w:b/>
          <w:color w:val="3B4259"/>
          <w:sz w:val="22"/>
        </w:rPr>
        <w:t>KPI 2: Diluted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2025</w:t>
            </w:r>
          </w:p>
        </w:tc>
        <w:tc>
          <w:tcPr>
            <w:tcW w:type="dxa" w:w="1728"/>
          </w:tcPr>
          <w:p>
            <w:r>
              <w:rPr>
                <w:rFonts w:ascii="Calibri" w:hAnsi="Calibri"/>
                <w:sz w:val="22"/>
              </w:rPr>
              <w:t>$0.40</w:t>
            </w:r>
          </w:p>
        </w:tc>
        <w:tc>
          <w:tcPr>
            <w:tcW w:type="dxa" w:w="1728"/>
          </w:tcPr>
          <w:p>
            <w:r>
              <w:rPr>
                <w:rFonts w:ascii="Calibri" w:hAnsi="Calibri"/>
                <w:sz w:val="22"/>
              </w:rPr>
              <w:t>$0.42</w:t>
            </w:r>
          </w:p>
        </w:tc>
        <w:tc>
          <w:tcPr>
            <w:tcW w:type="dxa" w:w="1728"/>
          </w:tcPr>
          <w:p>
            <w:r>
              <w:rPr>
                <w:rFonts w:ascii="Calibri" w:hAnsi="Calibri"/>
                <w:sz w:val="22"/>
              </w:rPr>
              <w:t>-4.8%</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$0.50</w:t>
            </w:r>
          </w:p>
        </w:tc>
        <w:tc>
          <w:tcPr>
            <w:tcW w:type="dxa" w:w="1728"/>
          </w:tcPr>
          <w:p>
            <w:r>
              <w:rPr>
                <w:rFonts w:ascii="Calibri" w:hAnsi="Calibri"/>
                <w:sz w:val="22"/>
              </w:rPr>
              <w:t>$0.55</w:t>
            </w:r>
          </w:p>
        </w:tc>
        <w:tc>
          <w:tcPr>
            <w:tcW w:type="dxa" w:w="1728"/>
          </w:tcPr>
          <w:p>
            <w:r>
              <w:rPr>
                <w:rFonts w:ascii="Calibri" w:hAnsi="Calibri"/>
                <w:sz w:val="22"/>
              </w:rPr>
              <w:t>-9.1%</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$0.50</w:t>
            </w:r>
          </w:p>
        </w:tc>
        <w:tc>
          <w:tcPr>
            <w:tcW w:type="dxa" w:w="1728"/>
          </w:tcPr>
          <w:p>
            <w:r>
              <w:rPr>
                <w:rFonts w:ascii="Calibri" w:hAnsi="Calibri"/>
                <w:sz w:val="22"/>
              </w:rPr>
              <w:t>$0.46</w:t>
            </w:r>
          </w:p>
        </w:tc>
        <w:tc>
          <w:tcPr>
            <w:tcW w:type="dxa" w:w="1728"/>
          </w:tcPr>
          <w:p>
            <w:r>
              <w:rPr>
                <w:rFonts w:ascii="Calibri" w:hAnsi="Calibri"/>
                <w:sz w:val="22"/>
              </w:rPr>
              <w:t>+8.7%</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$0.41</w:t>
            </w:r>
          </w:p>
        </w:tc>
        <w:tc>
          <w:tcPr>
            <w:tcW w:type="dxa" w:w="1728"/>
          </w:tcPr>
          <w:p>
            <w:r>
              <w:rPr>
                <w:rFonts w:ascii="Calibri" w:hAnsi="Calibri"/>
                <w:sz w:val="22"/>
              </w:rPr>
              <w:t>$0.38</w:t>
            </w:r>
          </w:p>
        </w:tc>
        <w:tc>
          <w:tcPr>
            <w:tcW w:type="dxa" w:w="1728"/>
          </w:tcPr>
          <w:p>
            <w:r>
              <w:rPr>
                <w:rFonts w:ascii="Calibri" w:hAnsi="Calibri"/>
                <w:sz w:val="22"/>
              </w:rPr>
              <w:t>+8.1%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TSLA has beaten on operating EPS in the two most recent quarters, driven by margin outperformance vs. depressed consensus. Revenue has been mixed (2 beats, 2 misses in the last 4 reported quarters). The Q2 2026 delivery beat of ~18% is the largest in recent history and sets up a likely revenue beat; the key unknown remains whether margins can hold near Q1 levels without the one-time benefits.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guidance posture has become significantly more aggressive since Q1 earnings — CapEx raised to over $25B (from prior &gt;$20B), negative FCF explicitly guided for the rest of 2026, and Optimus production start flagged for late July/August — while the tone on Robotaxi has shifted from cautious to operationally confident with zero incidents across Austin, Dallas, and Houston.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2026 CapEx</w:t>
            </w:r>
          </w:p>
        </w:tc>
        <w:tc>
          <w:tcPr>
            <w:tcW w:type="dxa" w:w="1728"/>
          </w:tcPr>
          <w:p>
            <w:r>
              <w:rPr>
                <w:rFonts w:ascii="Calibri" w:hAnsi="Calibri"/>
                <w:sz w:val="22"/>
              </w:rPr>
              <w:t>&gt;$25B (raised from prior &gt;$20B)</w:t>
            </w:r>
          </w:p>
        </w:tc>
        <w:tc>
          <w:tcPr>
            <w:tcW w:type="dxa" w:w="1728"/>
          </w:tcPr>
          <w:p>
            <w:r>
              <w:rPr>
                <w:rFonts w:ascii="Calibri" w:hAnsi="Calibri"/>
                <w:sz w:val="22"/>
              </w:rPr>
              <w:t>—</w:t>
            </w:r>
          </w:p>
        </w:tc>
        <w:tc>
          <w:tcPr>
            <w:tcW w:type="dxa" w:w="1728"/>
          </w:tcPr>
          <w:p>
            <w:r>
              <w:rPr>
                <w:rFonts w:ascii="Calibri" w:hAnsi="Calibri"/>
                <w:sz w:val="22"/>
              </w:rPr>
              <w:t>N/A (no consensus CapEx estimate)</w:t>
            </w:r>
          </w:p>
        </w:tc>
        <w:tc>
          <w:tcPr>
            <w:tcW w:type="dxa" w:w="1728"/>
          </w:tcPr>
          <w:p>
            <w:r>
              <w:rPr>
                <w:rFonts w:ascii="Calibri" w:hAnsi="Calibri"/>
                <w:sz w:val="22"/>
              </w:rPr>
              <w:t>Raised at Q1 earnings; includes 6 new factories, AI infrastructure, Optimus launch, research chip fab (~$3B). Multi-year investment phase of ~2 years flagged.</w:t>
            </w:r>
          </w:p>
        </w:tc>
      </w:tr>
      <w:tr>
        <w:tc>
          <w:tcPr>
            <w:tcW w:type="dxa" w:w="1728"/>
          </w:tcPr>
          <w:p>
            <w:r>
              <w:rPr>
                <w:rFonts w:ascii="Calibri" w:hAnsi="Calibri"/>
                <w:sz w:val="22"/>
              </w:rPr>
              <w:t>Free Cash Flow (rest of 2026)</w:t>
            </w:r>
          </w:p>
        </w:tc>
        <w:tc>
          <w:tcPr>
            <w:tcW w:type="dxa" w:w="1728"/>
          </w:tcPr>
          <w:p>
            <w:r>
              <w:rPr>
                <w:rFonts w:ascii="Calibri" w:hAnsi="Calibri"/>
                <w:sz w:val="22"/>
              </w:rPr>
              <w:t>Negative FCF expected for remainder of 2026</w:t>
            </w:r>
          </w:p>
        </w:tc>
        <w:tc>
          <w:tcPr>
            <w:tcW w:type="dxa" w:w="1728"/>
          </w:tcPr>
          <w:p>
            <w:r>
              <w:rPr>
                <w:rFonts w:ascii="Calibri" w:hAnsi="Calibri"/>
                <w:sz w:val="22"/>
              </w:rPr>
              <w:t>—</w:t>
            </w:r>
          </w:p>
        </w:tc>
        <w:tc>
          <w:tcPr>
            <w:tcW w:type="dxa" w:w="1728"/>
          </w:tcPr>
          <w:p>
            <w:r>
              <w:rPr>
                <w:rFonts w:ascii="Calibri" w:hAnsi="Calibri"/>
                <w:sz w:val="22"/>
              </w:rPr>
              <w:t>-$2.58B (Q2 consensus)</w:t>
            </w:r>
          </w:p>
        </w:tc>
        <w:tc>
          <w:tcPr>
            <w:tcW w:type="dxa" w:w="1728"/>
          </w:tcPr>
          <w:p>
            <w:r>
              <w:rPr>
                <w:rFonts w:ascii="Calibri" w:hAnsi="Calibri"/>
                <w:sz w:val="22"/>
              </w:rPr>
              <w:t>Explicit negative FCF guidance; consensus tracking with management tone. Q1 FCF was +$1.44B (positive, but CapEx ramp accelerating).</w:t>
            </w:r>
          </w:p>
        </w:tc>
      </w:tr>
      <w:tr>
        <w:tc>
          <w:tcPr>
            <w:tcW w:type="dxa" w:w="1728"/>
          </w:tcPr>
          <w:p>
            <w:r>
              <w:rPr>
                <w:rFonts w:ascii="Calibri" w:hAnsi="Calibri"/>
                <w:sz w:val="22"/>
              </w:rPr>
              <w:t>2026 Energy Storage Deployments</w:t>
            </w:r>
          </w:p>
        </w:tc>
        <w:tc>
          <w:tcPr>
            <w:tcW w:type="dxa" w:w="1728"/>
          </w:tcPr>
          <w:p>
            <w:r>
              <w:rPr>
                <w:rFonts w:ascii="Calibri" w:hAnsi="Calibri"/>
                <w:sz w:val="22"/>
              </w:rPr>
              <w:t>Above 2025 levels (2025: ~36.8 GWh)</w:t>
            </w:r>
          </w:p>
        </w:tc>
        <w:tc>
          <w:tcPr>
            <w:tcW w:type="dxa" w:w="1728"/>
          </w:tcPr>
          <w:p>
            <w:r>
              <w:rPr>
                <w:rFonts w:ascii="Calibri" w:hAnsi="Calibri"/>
                <w:sz w:val="22"/>
              </w:rPr>
              <w:t>—</w:t>
            </w:r>
          </w:p>
        </w:tc>
        <w:tc>
          <w:tcPr>
            <w:tcW w:type="dxa" w:w="1728"/>
          </w:tcPr>
          <w:p>
            <w:r>
              <w:rPr>
                <w:rFonts w:ascii="Calibri" w:hAnsi="Calibri"/>
                <w:sz w:val="22"/>
              </w:rPr>
              <w:t>~14.1 GWh Q2 consensus; ~14.4 GWh post-Q1 baseline</w:t>
            </w:r>
          </w:p>
        </w:tc>
        <w:tc>
          <w:tcPr>
            <w:tcW w:type="dxa" w:w="1728"/>
          </w:tcPr>
          <w:p>
            <w:r>
              <w:rPr>
                <w:rFonts w:ascii="Calibri" w:hAnsi="Calibri"/>
                <w:sz w:val="22"/>
              </w:rPr>
              <w:t>Guidance maintained despite Q1 sequential decline (-38%). Actual Q2 came in at 13.5 GWh (slightly below consensus). Megapack 3 production starting H2 2026 in new Houston factory.</w:t>
            </w:r>
          </w:p>
        </w:tc>
      </w:tr>
      <w:tr>
        <w:tc>
          <w:tcPr>
            <w:tcW w:type="dxa" w:w="1728"/>
          </w:tcPr>
          <w:p>
            <w:r>
              <w:rPr>
                <w:rFonts w:ascii="Calibri" w:hAnsi="Calibri"/>
                <w:sz w:val="22"/>
              </w:rPr>
              <w:t>Automotive Gross Margin ex-Credits</w:t>
            </w:r>
          </w:p>
        </w:tc>
        <w:tc>
          <w:tcPr>
            <w:tcW w:type="dxa" w:w="1728"/>
          </w:tcPr>
          <w:p>
            <w:r>
              <w:rPr>
                <w:rFonts w:ascii="Calibri" w:hAnsi="Calibri"/>
                <w:sz w:val="22"/>
              </w:rPr>
              <w:t>Compression expected from Q1 one-time items not repeating; tariff &amp; interest rate headwinds flagged</w:t>
            </w:r>
          </w:p>
        </w:tc>
        <w:tc>
          <w:tcPr>
            <w:tcW w:type="dxa" w:w="1728"/>
          </w:tcPr>
          <w:p>
            <w:r>
              <w:rPr>
                <w:rFonts w:ascii="Calibri" w:hAnsi="Calibri"/>
                <w:sz w:val="22"/>
              </w:rPr>
              <w:t>—</w:t>
            </w:r>
          </w:p>
        </w:tc>
        <w:tc>
          <w:tcPr>
            <w:tcW w:type="dxa" w:w="1728"/>
          </w:tcPr>
          <w:p>
            <w:r>
              <w:rPr>
                <w:rFonts w:ascii="Calibri" w:hAnsi="Calibri"/>
                <w:sz w:val="22"/>
              </w:rPr>
              <w:t>~18.1% (Q2 consensus)</w:t>
            </w:r>
          </w:p>
        </w:tc>
        <w:tc>
          <w:tcPr>
            <w:tcW w:type="dxa" w:w="1728"/>
          </w:tcPr>
          <w:p>
            <w:r>
              <w:rPr>
                <w:rFonts w:ascii="Calibri" w:hAnsi="Calibri"/>
                <w:sz w:val="22"/>
              </w:rPr>
              <w:t>Q1 benefited from ~$230M warranty true-downs and tariff relief. Management explicitly flagged these as one-time. Consensus at 18.1% implies ~110 bps sequential compression from Q1's 19.2%.</w:t>
            </w:r>
          </w:p>
        </w:tc>
      </w:tr>
      <w:tr>
        <w:tc>
          <w:tcPr>
            <w:tcW w:type="dxa" w:w="1728"/>
          </w:tcPr>
          <w:p>
            <w:r>
              <w:rPr>
                <w:rFonts w:ascii="Calibri" w:hAnsi="Calibri"/>
                <w:sz w:val="22"/>
              </w:rPr>
              <w:t>Robotaxi / Unsupervised FSD Revenue</w:t>
            </w:r>
          </w:p>
        </w:tc>
        <w:tc>
          <w:tcPr>
            <w:tcW w:type="dxa" w:w="1728"/>
          </w:tcPr>
          <w:p>
            <w:r>
              <w:rPr>
                <w:rFonts w:ascii="Calibri" w:hAnsi="Calibri"/>
                <w:sz w:val="22"/>
              </w:rPr>
              <w:t>Not material in 2026; material in a significant way in 2027</w:t>
            </w:r>
          </w:p>
        </w:tc>
        <w:tc>
          <w:tcPr>
            <w:tcW w:type="dxa" w:w="1728"/>
          </w:tcPr>
          <w:p>
            <w:r>
              <w:rPr>
                <w:rFonts w:ascii="Calibri" w:hAnsi="Calibri"/>
                <w:sz w:val="22"/>
              </w:rPr>
              <w:t>—</w:t>
            </w:r>
          </w:p>
        </w:tc>
        <w:tc>
          <w:tcPr>
            <w:tcW w:type="dxa" w:w="1728"/>
          </w:tcPr>
          <w:p>
            <w:r>
              <w:rPr>
                <w:rFonts w:ascii="Calibri" w:hAnsi="Calibri"/>
                <w:sz w:val="22"/>
              </w:rPr>
              <w:t>N/A (not in consensus)</w:t>
            </w:r>
          </w:p>
        </w:tc>
        <w:tc>
          <w:tcPr>
            <w:tcW w:type="dxa" w:w="1728"/>
          </w:tcPr>
          <w:p>
            <w:r>
              <w:rPr>
                <w:rFonts w:ascii="Calibri" w:hAnsi="Calibri"/>
                <w:sz w:val="22"/>
              </w:rPr>
              <w:t>Operating in Austin, Dallas, Houston with no safety monitors. Targeting ~dozen+ states by year-end. Unsupervised FSD on customer cars expected Q4 2026 rollout. Revenue not expected to be material in 2026.</w:t>
            </w:r>
          </w:p>
        </w:tc>
      </w:tr>
      <w:tr>
        <w:tc>
          <w:tcPr>
            <w:tcW w:type="dxa" w:w="1728"/>
          </w:tcPr>
          <w:p>
            <w:r>
              <w:rPr>
                <w:rFonts w:ascii="Calibri" w:hAnsi="Calibri"/>
                <w:sz w:val="22"/>
              </w:rPr>
              <w:t>Optimus Production Start</w:t>
            </w:r>
          </w:p>
        </w:tc>
        <w:tc>
          <w:tcPr>
            <w:tcW w:type="dxa" w:w="1728"/>
          </w:tcPr>
          <w:p>
            <w:r>
              <w:rPr>
                <w:rFonts w:ascii="Calibri" w:hAnsi="Calibri"/>
                <w:sz w:val="22"/>
              </w:rPr>
              <w:t>Late July / August 2026 at Fremont; very slow ramp initially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V3 Optimus design nearly ready to demonstrate. Second factory at Giga Texas expected to start production ~summer 2027. Production rate for 2026 described as 'impossible to predict.'</w:t>
            </w:r>
          </w:p>
        </w:tc>
      </w:tr>
      <w:tr>
        <w:tc>
          <w:tcPr>
            <w:tcW w:type="dxa" w:w="1728"/>
          </w:tcPr>
          <w:p>
            <w:r>
              <w:rPr>
                <w:rFonts w:ascii="Calibri" w:hAnsi="Calibri"/>
                <w:sz w:val="22"/>
              </w:rPr>
              <w:t>FSD EU Approval</w:t>
            </w:r>
          </w:p>
        </w:tc>
        <w:tc>
          <w:tcPr>
            <w:tcW w:type="dxa" w:w="1728"/>
          </w:tcPr>
          <w:p>
            <w:r>
              <w:rPr>
                <w:rFonts w:ascii="Calibri" w:hAnsi="Calibri"/>
                <w:sz w:val="22"/>
              </w:rPr>
              <w:t>EU-wide approval targeted Q2 2026 (Netherlands approval received); China broader approval targeted Q3</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Netherlands approval received; EU-wide gated by regulators. China broader approval still pending as of Q1 call. Key catalyst for FSD subscription growth.</w:t>
            </w:r>
          </w:p>
        </w:tc>
      </w:tr>
      <w:tr>
        <w:tc>
          <w:tcPr>
            <w:tcW w:type="dxa" w:w="1728"/>
          </w:tcPr>
          <w:p>
            <w:r>
              <w:rPr>
                <w:rFonts w:ascii="Calibri" w:hAnsi="Calibri"/>
                <w:sz w:val="22"/>
              </w:rPr>
              <w:t>Operating Expenses (AI &amp; New Products)</w:t>
            </w:r>
          </w:p>
        </w:tc>
        <w:tc>
          <w:tcPr>
            <w:tcW w:type="dxa" w:w="1728"/>
          </w:tcPr>
          <w:p>
            <w:r>
              <w:rPr>
                <w:rFonts w:ascii="Calibri" w:hAnsi="Calibri"/>
                <w:sz w:val="22"/>
              </w:rPr>
              <w:t>Elevated and rising through full year 2026 (AI chips, Cybercab, Semi, Optimus, Megablock)</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Management explicitly guided for elevated OpEx trend to continue for full year 2026. No change since Q1 call.</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sharply higher since Q1 earnings — Q2 revenue consensus up ~$2.1B (+8.6%) and operating EPS up ~17% — driven almost entirely by the delivery beat, while full-year 2026 estimates have also been revised upward. The gap between current consensus and the post-Q1 baseline is a </w:t>
      </w:r>
      <w:r>
        <w:rPr>
          <w:rFonts w:ascii="Calibri" w:hAnsi="Calibri"/>
          <w:b/>
          <w:color w:val="525866"/>
          <w:sz w:val="22"/>
        </w:rPr>
        <w:t>cushion, not a risk</w:t>
      </w:r>
      <w:r>
        <w:rPr>
          <w:rFonts w:ascii="Calibri" w:hAnsi="Calibri"/>
          <w:color w:val="525866"/>
          <w:sz w:val="22"/>
        </w:rPr>
        <w:t>, as the delivery beat is already confirmed; the remaining uncertainty is whether margins can sustain the upward revision trajectory.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(Apr 29, 2026 — 5 days post Q1 earnings)</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$24.6B</w:t>
            </w:r>
          </w:p>
        </w:tc>
        <w:tc>
          <w:tcPr>
            <w:tcW w:type="dxa" w:w="1080"/>
          </w:tcPr>
          <w:p>
            <w:r>
              <w:rPr>
                <w:rFonts w:ascii="Calibri" w:hAnsi="Calibri"/>
                <w:sz w:val="22"/>
              </w:rPr>
              <w:t>$26.7B</w:t>
            </w:r>
          </w:p>
        </w:tc>
        <w:tc>
          <w:tcPr>
            <w:tcW w:type="dxa" w:w="1080"/>
          </w:tcPr>
          <w:p>
            <w:r>
              <w:rPr>
                <w:rFonts w:ascii="Calibri" w:hAnsi="Calibri"/>
                <w:b/>
                <w:color w:val="30A46C"/>
                <w:sz w:val="22"/>
              </w:rPr>
              <w:t>+8.6%</w:t>
            </w:r>
          </w:p>
        </w:tc>
        <w:tc>
          <w:tcPr>
            <w:tcW w:type="dxa" w:w="1080"/>
          </w:tcPr>
          <w:p>
            <w:r>
              <w:rPr>
                <w:rFonts w:ascii="Calibri" w:hAnsi="Calibri"/>
                <w:sz w:val="22"/>
              </w:rPr>
              <w:t>No specific Q2 guidance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N/A (not available in VA as-of data)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No specific FY guidance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Operating EPS — Q2 2026</w:t>
            </w:r>
          </w:p>
        </w:tc>
        <w:tc>
          <w:tcPr>
            <w:tcW w:type="dxa" w:w="1080"/>
          </w:tcPr>
          <w:p>
            <w:r>
              <w:rPr>
                <w:rFonts w:ascii="Calibri" w:hAnsi="Calibri"/>
                <w:sz w:val="22"/>
              </w:rPr>
              <w:t>$0.47</w:t>
            </w:r>
          </w:p>
        </w:tc>
        <w:tc>
          <w:tcPr>
            <w:tcW w:type="dxa" w:w="1080"/>
          </w:tcPr>
          <w:p>
            <w:r>
              <w:rPr>
                <w:rFonts w:ascii="Calibri" w:hAnsi="Calibri"/>
                <w:sz w:val="22"/>
              </w:rPr>
              <w:t>$0.55</w:t>
            </w:r>
          </w:p>
        </w:tc>
        <w:tc>
          <w:tcPr>
            <w:tcW w:type="dxa" w:w="1080"/>
          </w:tcPr>
          <w:p>
            <w:r>
              <w:rPr>
                <w:rFonts w:ascii="Calibri" w:hAnsi="Calibri"/>
                <w:b/>
                <w:color w:val="30A46C"/>
                <w:sz w:val="22"/>
              </w:rPr>
              <w:t>+17.0%</w:t>
            </w:r>
          </w:p>
        </w:tc>
        <w:tc>
          <w:tcPr>
            <w:tcW w:type="dxa" w:w="1080"/>
          </w:tcPr>
          <w:p>
            <w:r>
              <w:rPr>
                <w:rFonts w:ascii="Calibri" w:hAnsi="Calibri"/>
                <w:sz w:val="22"/>
              </w:rPr>
              <w:t>No specific EPS guidance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Auto Gross Margin ex-Credits — Q2 2026</w:t>
            </w:r>
          </w:p>
        </w:tc>
        <w:tc>
          <w:tcPr>
            <w:tcW w:type="dxa" w:w="1080"/>
          </w:tcPr>
          <w:p>
            <w:r>
              <w:rPr>
                <w:rFonts w:ascii="Calibri" w:hAnsi="Calibri"/>
                <w:sz w:val="22"/>
              </w:rPr>
              <w:t>~17.6%</w:t>
            </w:r>
          </w:p>
        </w:tc>
        <w:tc>
          <w:tcPr>
            <w:tcW w:type="dxa" w:w="1080"/>
          </w:tcPr>
          <w:p>
            <w:r>
              <w:rPr>
                <w:rFonts w:ascii="Calibri" w:hAnsi="Calibri"/>
                <w:sz w:val="22"/>
              </w:rPr>
              <w:t>~18.1%</w:t>
            </w:r>
          </w:p>
        </w:tc>
        <w:tc>
          <w:tcPr>
            <w:tcW w:type="dxa" w:w="1080"/>
          </w:tcPr>
          <w:p>
            <w:r>
              <w:rPr>
                <w:rFonts w:ascii="Calibri" w:hAnsi="Calibri"/>
                <w:b/>
                <w:color w:val="30A46C"/>
                <w:sz w:val="22"/>
              </w:rPr>
              <w:t>+28 bps</w:t>
            </w:r>
          </w:p>
        </w:tc>
        <w:tc>
          <w:tcPr>
            <w:tcW w:type="dxa" w:w="1080"/>
          </w:tcPr>
          <w:p>
            <w:r>
              <w:rPr>
                <w:rFonts w:ascii="Calibri" w:hAnsi="Calibri"/>
                <w:sz w:val="22"/>
              </w:rPr>
              <w:t>Compression from Q1 one-time items; tariff &amp; interest rate headwinds</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Consensus above management's cautious tone</w:t>
            </w:r>
          </w:p>
        </w:tc>
      </w:tr>
      <w:tr>
        <w:tc>
          <w:tcPr>
            <w:tcW w:type="dxa" w:w="1080"/>
          </w:tcPr>
          <w:p>
            <w:r>
              <w:rPr>
                <w:rFonts w:ascii="Calibri" w:hAnsi="Calibri"/>
                <w:sz w:val="22"/>
              </w:rPr>
              <w:t>Energy Storage Deployed — Q2 2026</w:t>
            </w:r>
          </w:p>
        </w:tc>
        <w:tc>
          <w:tcPr>
            <w:tcW w:type="dxa" w:w="1080"/>
          </w:tcPr>
          <w:p>
            <w:r>
              <w:rPr>
                <w:rFonts w:ascii="Calibri" w:hAnsi="Calibri"/>
                <w:sz w:val="22"/>
              </w:rPr>
              <w:t>~14.4 GWh</w:t>
            </w:r>
          </w:p>
        </w:tc>
        <w:tc>
          <w:tcPr>
            <w:tcW w:type="dxa" w:w="1080"/>
          </w:tcPr>
          <w:p>
            <w:r>
              <w:rPr>
                <w:rFonts w:ascii="Calibri" w:hAnsi="Calibri"/>
                <w:sz w:val="22"/>
              </w:rPr>
              <w:t>~14.1 GWh</w:t>
            </w:r>
          </w:p>
        </w:tc>
        <w:tc>
          <w:tcPr>
            <w:tcW w:type="dxa" w:w="1080"/>
          </w:tcPr>
          <w:p>
            <w:r>
              <w:rPr>
                <w:rFonts w:ascii="Calibri" w:hAnsi="Calibri"/>
                <w:b/>
                <w:color w:val="E5484D"/>
                <w:sz w:val="22"/>
              </w:rPr>
              <w:t>-2.1%</w:t>
            </w:r>
          </w:p>
        </w:tc>
        <w:tc>
          <w:tcPr>
            <w:tcW w:type="dxa" w:w="1080"/>
          </w:tcPr>
          <w:p>
            <w:r>
              <w:rPr>
                <w:rFonts w:ascii="Calibri" w:hAnsi="Calibri"/>
                <w:sz w:val="22"/>
              </w:rPr>
              <w:t>2026 above 2025 levels</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Actual Q2 came in at 13.5 GWh — slightly below consensus</w:t>
            </w:r>
          </w:p>
        </w:tc>
      </w:tr>
      <w:tr>
        <w:tc>
          <w:tcPr>
            <w:tcW w:type="dxa" w:w="1080"/>
          </w:tcPr>
          <w:p>
            <w:r>
              <w:rPr>
                <w:rFonts w:ascii="Calibri" w:hAnsi="Calibri"/>
                <w:sz w:val="22"/>
              </w:rPr>
              <w:t>Free Cash Flow — Q2 2026</w:t>
            </w:r>
          </w:p>
        </w:tc>
        <w:tc>
          <w:tcPr>
            <w:tcW w:type="dxa" w:w="1080"/>
          </w:tcPr>
          <w:p>
            <w:r>
              <w:rPr>
                <w:rFonts w:ascii="Calibri" w:hAnsi="Calibri"/>
                <w:sz w:val="22"/>
              </w:rPr>
              <w:t>-$3.68B</w:t>
            </w:r>
          </w:p>
        </w:tc>
        <w:tc>
          <w:tcPr>
            <w:tcW w:type="dxa" w:w="1080"/>
          </w:tcPr>
          <w:p>
            <w:r>
              <w:rPr>
                <w:rFonts w:ascii="Calibri" w:hAnsi="Calibri"/>
                <w:sz w:val="22"/>
              </w:rPr>
              <w:t>-$2.58B</w:t>
            </w:r>
          </w:p>
        </w:tc>
        <w:tc>
          <w:tcPr>
            <w:tcW w:type="dxa" w:w="1080"/>
          </w:tcPr>
          <w:p>
            <w:r>
              <w:rPr>
                <w:rFonts w:ascii="Calibri" w:hAnsi="Calibri"/>
                <w:b/>
                <w:color w:val="30A46C"/>
                <w:sz w:val="22"/>
              </w:rPr>
              <w:t>+30.0% (less negative)</w:t>
            </w:r>
          </w:p>
        </w:tc>
        <w:tc>
          <w:tcPr>
            <w:tcW w:type="dxa" w:w="1080"/>
          </w:tcPr>
          <w:p>
            <w:r>
              <w:rPr>
                <w:rFonts w:ascii="Calibri" w:hAnsi="Calibri"/>
                <w:sz w:val="22"/>
              </w:rPr>
              <w:t>Negative FCF for rest of 2026</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Consensus tracking with guidance direction; less negative than initial post-Q1 estimate</w:t>
            </w:r>
          </w:p>
        </w:tc>
      </w:tr>
    </w:tbl>
    <w:p>
      <w:r>
        <w:rPr>
          <w:rFonts w:ascii="Calibri" w:hAnsi="Calibri"/>
          <w:color w:val="525866"/>
          <w:sz w:val="22"/>
        </w:rPr>
        <w:t>Estimates have been revised sharply higher since Q1 earnings, driven by the confirmed delivery beat (+18% vs. consensus). The revision trajectory is constructive, but the key risk is whether automotive gross margin can sustain near Q1 levels without the ~$230M warranty true-down and ~$250M energy tariff benefit that inflated Q1 margins. Consensus at ~18.1% auto margin ex-credits implies the street is already pricing in some normalization.</w:t>
      </w:r>
    </w:p>
    <w:p>
      <w:r>
        <w:rPr>
          <w:rFonts w:ascii="Calibri" w:hAnsi="Calibri"/>
          <w:i/>
          <w:color w:val="525866"/>
          <w:sz w:val="22"/>
        </w:rPr>
        <w:t>Source: Visible Alpha Consensus and Actuals Data; Tesla Q1 2026 Earnings Call (April 22,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TSLA has </w:t>
      </w:r>
      <w:r>
        <w:rPr>
          <w:rFonts w:ascii="Calibri" w:hAnsi="Calibri"/>
          <w:b/>
          <w:color w:val="525866"/>
          <w:sz w:val="22"/>
        </w:rPr>
        <w:t>underperformed significantly</w:t>
      </w:r>
      <w:r>
        <w:rPr>
          <w:rFonts w:ascii="Calibri" w:hAnsi="Calibri"/>
          <w:color w:val="525866"/>
          <w:sz w:val="22"/>
        </w:rPr>
        <w:t xml:space="preserve"> since Q1 earnings — down ~2.2% vs. CARZ (EV/auto ETF) +9.8% and SPY +5.2% — despite the massive delivery beat, suggesting the market is discounting near-term margin risk and the pace of Robotaxi/Optimus monetization rather than rewarding volume recovery.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TSLA vs. CARZ (EV/Auto ETF) vs. S&amp;P 500 — Indexed to 100 at Q1 2026 Earnings (April 22, 2026). Source: Yahoo Finance.</w:t>
      </w:r>
    </w:p>
    <w:p>
      <w:r>
        <w:rPr>
          <w:rFonts w:ascii="Calibri" w:hAnsi="Calibri"/>
          <w:b/>
          <w:color w:val="525866"/>
          <w:sz w:val="22"/>
        </w:rPr>
        <w:t xml:space="preserve">Sector ETF: </w:t>
      </w:r>
      <w:r>
        <w:rPr>
          <w:rFonts w:ascii="Calibri" w:hAnsi="Calibri"/>
          <w:color w:val="525866"/>
          <w:sz w:val="22"/>
        </w:rPr>
        <w:t>CARZ (First Trust NASDAQ Global Auto Index Fund) — tracks global auto manufacturers including EV peers, appropriate for TSLA's primary business segment.</w:t>
      </w:r>
    </w:p>
    <w:p>
      <w:r>
        <w:rPr>
          <w:rFonts w:ascii="Calibri" w:hAnsi="Calibri"/>
          <w:b/>
          <w:color w:val="525866"/>
          <w:sz w:val="22"/>
        </w:rPr>
        <w:t xml:space="preserve">Performance Commentary: </w:t>
      </w:r>
      <w:r>
        <w:rPr>
          <w:rFonts w:ascii="Calibri" w:hAnsi="Calibri"/>
          <w:color w:val="525866"/>
          <w:sz w:val="22"/>
        </w:rPr>
        <w:t>TSLA peaked at ~$445 in mid-May (indexed ~115) as the delivery beat narrative built, then sold off sharply through June and into July, giving back all gains and more. The stock is now trading at ~$379 (July 21), down ~2.2% from the Q1 earnings date of $387.51. The underperformance vs. CARZ (+9.8%) and SPY (+5.2%) is notable given the delivery beat, and likely reflects: (1) margin skepticism after Q1's one-time benefits, (2) CapEx concerns with &gt;$25B guided and negative FCF for the rest of the year, and (3) the market waiting for concrete Robotaxi/Optimus revenue rather than operational milestones. The stock's premium multiple (trading almost entirely on AI/autonomy optionality) makes it highly sensitive to any tone shift on the earnings call.</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Q2 delivery beat of 480,126 vehicles (+18% vs. ~406K consensus)</w:t>
      </w:r>
      <w:r>
        <w:rPr>
          <w:rFonts w:ascii="Calibri" w:hAnsi="Calibri"/>
          <w:color w:val="525866"/>
          <w:sz w:val="22"/>
        </w:rPr>
        <w:t xml:space="preserve"> — Tesla's strongest Q2 on record and first year-over-year delivery growth in two years — which effectively pre-validates the revenue line and shifts all focus to margins and Robotaxi/Optimus updates on the July 22 call.</w:t>
      </w:r>
    </w:p>
    <w:p>
      <w:pPr>
        <w:pStyle w:val="ListBullet"/>
        <w:ind w:left="360" w:hanging="360"/>
      </w:pPr>
      <w:r>
        <w:rPr>
          <w:rFonts w:ascii="Calibri" w:hAnsi="Calibri"/>
          <w:b/>
          <w:color w:val="525866"/>
          <w:sz w:val="22"/>
        </w:rPr>
        <w:t>July 2, 2026 — Q2 2026 Delivery &amp; Production Report (BEAT):</w:t>
      </w:r>
      <w:r>
        <w:rPr>
          <w:rFonts w:ascii="Calibri" w:hAnsi="Calibri"/>
          <w:color w:val="525866"/>
          <w:sz w:val="22"/>
        </w:rPr>
        <w:t xml:space="preserve"> Tesla reported 480,126 deliveries (+25% YoY, +34% QoQ) and 451,758 production units, vs. consensus of ~406K deliveries. Model 3/Y accounted for 467,762 units (97% of deliveries). Energy storage deployed was 13.5 GWh. </w:t>
      </w:r>
      <w:r>
        <w:rPr>
          <w:rFonts w:ascii="Calibri" w:hAnsi="Calibri"/>
          <w:i/>
          <w:color w:val="525866"/>
          <w:sz w:val="22"/>
        </w:rPr>
        <w:t>Implication: Revenue beat is effectively locked in; margin and Robotaxi commentary are the remaining swing factors for the July 22 print.</w:t>
      </w:r>
    </w:p>
    <w:p>
      <w:pPr>
        <w:pStyle w:val="ListBullet"/>
        <w:ind w:left="360" w:hanging="360"/>
      </w:pPr>
      <w:r>
        <w:rPr>
          <w:rFonts w:ascii="Calibri" w:hAnsi="Calibri"/>
          <w:b/>
          <w:color w:val="525866"/>
          <w:sz w:val="22"/>
        </w:rPr>
        <w:t>April 22, 2026 — Q1 2026 Earnings (Beat on EPS &amp; Margin):</w:t>
      </w:r>
      <w:r>
        <w:rPr>
          <w:rFonts w:ascii="Calibri" w:hAnsi="Calibri"/>
          <w:color w:val="525866"/>
          <w:sz w:val="22"/>
        </w:rPr>
        <w:t xml:space="preserve"> Non-GAAP EPS beat consensus; automotive gross margin ex-credits came in at 19.2% (vs. ~15.6% consensus), aided by ~$230M warranty true-downs and tariff relief. CapEx guidance raised to &gt;$25B for 2026 (from prior &gt;$20B). Negative FCF guided for rest of 2026. </w:t>
      </w:r>
      <w:r>
        <w:rPr>
          <w:rFonts w:ascii="Calibri" w:hAnsi="Calibri"/>
          <w:i/>
          <w:color w:val="525866"/>
          <w:sz w:val="22"/>
        </w:rPr>
        <w:t>Implication: Q1 margin beat was partly one-time; Q2 margin is the key test of underlying profitability.</w:t>
      </w:r>
    </w:p>
    <w:p>
      <w:pPr>
        <w:pStyle w:val="ListBullet"/>
        <w:ind w:left="360" w:hanging="360"/>
      </w:pPr>
      <w:r>
        <w:rPr>
          <w:rFonts w:ascii="Calibri" w:hAnsi="Calibri"/>
          <w:b/>
          <w:color w:val="525866"/>
          <w:sz w:val="22"/>
        </w:rPr>
        <w:t>April 22, 2026 — Robotaxi Expansion to Dallas &amp; Houston:</w:t>
      </w:r>
      <w:r>
        <w:rPr>
          <w:rFonts w:ascii="Calibri" w:hAnsi="Calibri"/>
          <w:color w:val="525866"/>
          <w:sz w:val="22"/>
        </w:rPr>
        <w:t xml:space="preserve"> Tesla confirmed fully unsupervised Robotaxi operations (no safety monitors, no chase cars) expanded to Dallas and Houston using v14.3 software. Zero incidents reported. Targeting ~dozen+ states by year-end 2026. </w:t>
      </w:r>
      <w:r>
        <w:rPr>
          <w:rFonts w:ascii="Calibri" w:hAnsi="Calibri"/>
          <w:i/>
          <w:color w:val="525866"/>
          <w:sz w:val="22"/>
        </w:rPr>
        <w:t>Implication: Operational credibility building; any update on fleet size, rides, or early revenue on the Q2 call would be a significant catalyst.</w:t>
      </w:r>
    </w:p>
    <w:p>
      <w:pPr>
        <w:pStyle w:val="ListBullet"/>
        <w:ind w:left="360" w:hanging="360"/>
      </w:pPr>
      <w:r>
        <w:rPr>
          <w:rFonts w:ascii="Calibri" w:hAnsi="Calibri"/>
          <w:b/>
          <w:color w:val="525866"/>
          <w:sz w:val="22"/>
        </w:rPr>
        <w:t>April 22, 2026 — Optimus Production Start Flagged for Late July/August:</w:t>
      </w:r>
      <w:r>
        <w:rPr>
          <w:rFonts w:ascii="Calibri" w:hAnsi="Calibri"/>
          <w:color w:val="525866"/>
          <w:sz w:val="22"/>
        </w:rPr>
        <w:t xml:space="preserve"> Management guided for Optimus production start at Fremont in the late July/August timeframe, with a very slow initial ramp. V3 Optimus design described as 'almost ready to demonstrate.' Second factory at Giga Texas expected to start production ~summer 2027. </w:t>
      </w:r>
      <w:r>
        <w:rPr>
          <w:rFonts w:ascii="Calibri" w:hAnsi="Calibri"/>
          <w:i/>
          <w:color w:val="525866"/>
          <w:sz w:val="22"/>
        </w:rPr>
        <w:t>Implication: Q2 call may include first Optimus production update — any concrete unit count or timeline would be market-moving.</w:t>
      </w:r>
    </w:p>
    <w:p>
      <w:pPr>
        <w:pStyle w:val="ListBullet"/>
        <w:ind w:left="360" w:hanging="360"/>
      </w:pPr>
      <w:r>
        <w:rPr>
          <w:rFonts w:ascii="Calibri" w:hAnsi="Calibri"/>
          <w:b/>
          <w:color w:val="525866"/>
          <w:sz w:val="22"/>
        </w:rPr>
        <w:t>April 22, 2026 — AI5 Chip Taped Out; Terafab Plans Finalized:</w:t>
      </w:r>
      <w:r>
        <w:rPr>
          <w:rFonts w:ascii="Calibri" w:hAnsi="Calibri"/>
          <w:color w:val="525866"/>
          <w:sz w:val="22"/>
        </w:rPr>
        <w:t xml:space="preserve"> Tesla's AI chip team taped out AI5 (described as 'best AI inference chip for edge compute'). Research chip fab on Giga Texas campus (~$3B initiative) to begin construction in 2026. Intel's 14A process selected for Terafab scaling. AI6 design already underway. </w:t>
      </w:r>
      <w:r>
        <w:rPr>
          <w:rFonts w:ascii="Calibri" w:hAnsi="Calibri"/>
          <w:i/>
          <w:color w:val="525866"/>
          <w:sz w:val="22"/>
        </w:rPr>
        <w:t>Implication: Vertical integration in silicon is accelerating; any update on fab construction timeline or AI5 deployment would be notable.</w:t>
      </w:r>
    </w:p>
    <w:p>
      <w:pPr>
        <w:pStyle w:val="ListBullet"/>
        <w:ind w:left="360" w:hanging="360"/>
      </w:pPr>
      <w:r>
        <w:rPr>
          <w:rFonts w:ascii="Calibri" w:hAnsi="Calibri"/>
          <w:b/>
          <w:color w:val="525866"/>
          <w:sz w:val="22"/>
        </w:rPr>
        <w:t>April 22, 2026 — FSD EU Approval Progress:</w:t>
      </w:r>
      <w:r>
        <w:rPr>
          <w:rFonts w:ascii="Calibri" w:hAnsi="Calibri"/>
          <w:color w:val="525866"/>
          <w:sz w:val="22"/>
        </w:rPr>
        <w:t xml:space="preserve"> Netherlands FSD approval received; EU-wide approval targeted for Q2 2026. China broader FSD approval targeted for Q3 2026. FSD paid customers reached ~1.28M globally (bulk from subscriptions). </w:t>
      </w:r>
      <w:r>
        <w:rPr>
          <w:rFonts w:ascii="Calibri" w:hAnsi="Calibri"/>
          <w:i/>
          <w:color w:val="525866"/>
          <w:sz w:val="22"/>
        </w:rPr>
        <w:t>Implication: EU approval (if confirmed on Q2 call) would be a meaningful catalyst for FSD subscription growth and incremental vehicle demand.</w:t>
      </w:r>
    </w:p>
    <w:p>
      <w:pPr>
        <w:pStyle w:val="ListBullet"/>
        <w:ind w:left="360" w:hanging="360"/>
      </w:pPr>
      <w:r>
        <w:rPr>
          <w:rFonts w:ascii="Calibri" w:hAnsi="Calibri"/>
          <w:b/>
          <w:color w:val="525866"/>
          <w:sz w:val="22"/>
        </w:rPr>
        <w:t>April 22, 2026 — Hardware 3 Exclusion from Unsupervised FSD Confirmed:</w:t>
      </w:r>
      <w:r>
        <w:rPr>
          <w:rFonts w:ascii="Calibri" w:hAnsi="Calibri"/>
          <w:color w:val="525866"/>
          <w:sz w:val="22"/>
        </w:rPr>
        <w:t xml:space="preserve"> Management confirmed HW3 vehicles cannot achieve unsupervised FSD due to insufficient memory bandwidth. Tesla planning micro-factories in major metro areas for HW3-to-HW4 upgrades; discounted trade-in program announced. V14 distilled version for HW3 expected end of June. </w:t>
      </w:r>
      <w:r>
        <w:rPr>
          <w:rFonts w:ascii="Calibri" w:hAnsi="Calibri"/>
          <w:i/>
          <w:color w:val="525866"/>
          <w:sz w:val="22"/>
        </w:rPr>
        <w:t>Implication: Creates near-term upgrade revenue opportunity but also customer friction; any update on upgrade program uptake would be relevant.</w:t>
      </w:r>
    </w:p>
    <w:p>
      <w:pPr>
        <w:pStyle w:val="ListBullet"/>
        <w:ind w:left="360" w:hanging="360"/>
      </w:pPr>
      <w:r>
        <w:rPr>
          <w:rFonts w:ascii="Calibri" w:hAnsi="Calibri"/>
          <w:b/>
          <w:color w:val="525866"/>
          <w:sz w:val="22"/>
        </w:rPr>
        <w:t>April 22, 2026 — Cybercab Production 'Just Started':</w:t>
      </w:r>
      <w:r>
        <w:rPr>
          <w:rFonts w:ascii="Calibri" w:hAnsi="Calibri"/>
          <w:color w:val="525866"/>
          <w:sz w:val="22"/>
        </w:rPr>
        <w:t xml:space="preserve"> Management confirmed Cybercab production has just started, with Semi truck production to begin soon. Both expected to ramp 'exponentially toward end of year and next year.' Long-term, majority of production expected to be Cybercab. </w:t>
      </w:r>
      <w:r>
        <w:rPr>
          <w:rFonts w:ascii="Calibri" w:hAnsi="Calibri"/>
          <w:i/>
          <w:color w:val="525866"/>
          <w:sz w:val="22"/>
        </w:rPr>
        <w:t>Implication: Any Q2 Cybercab production unit count or ramp timeline update would be a key data point for the autonomous revenue thesis.</w:t>
      </w:r>
    </w:p>
    <w:p>
      <w:pPr>
        <w:pStyle w:val="ListBullet"/>
        <w:ind w:left="360" w:hanging="360"/>
      </w:pPr>
      <w:r>
        <w:rPr>
          <w:rFonts w:ascii="Calibri" w:hAnsi="Calibri"/>
          <w:b/>
          <w:color w:val="525866"/>
          <w:sz w:val="22"/>
        </w:rPr>
        <w:t>April 22, 2026 — Unsupervised FSD on Customer Cars Targeted Q4 2026:</w:t>
      </w:r>
      <w:r>
        <w:rPr>
          <w:rFonts w:ascii="Calibri" w:hAnsi="Calibri"/>
          <w:color w:val="525866"/>
          <w:sz w:val="22"/>
        </w:rPr>
        <w:t xml:space="preserve"> Management guided for gradual rollout of unsupervised FSD to customer fleet in Q4 2026, geography by geography. V15 (complete software architecture overhaul) expected by end of 2026 or early 2027. </w:t>
      </w:r>
      <w:r>
        <w:rPr>
          <w:rFonts w:ascii="Calibri" w:hAnsi="Calibri"/>
          <w:i/>
          <w:color w:val="525866"/>
          <w:sz w:val="22"/>
        </w:rPr>
        <w:t>Implication: Q4 2026 customer FSD rollout is a major monetization catalyst; any pull-forward or delay would be significant.</w:t>
      </w:r>
    </w:p>
    <w:p>
      <w:r>
        <w:br w:type="page"/>
      </w:r>
    </w:p>
    <w:p>
      <w:pPr>
        <w:pStyle w:val="Heading2"/>
      </w:pPr>
      <w:r>
        <w:rPr>
          <w:rFonts w:ascii="Calibri" w:hAnsi="Calibri"/>
          <w:b/>
          <w:color w:val="3B4259"/>
          <w:sz w:val="28"/>
        </w:rPr>
        <w:t>7. Peer Commentaries — Read-Through for Q2 2026</w:t>
      </w:r>
    </w:p>
    <w:p>
      <w:r>
        <w:rPr>
          <w:rFonts w:ascii="Calibri" w:hAnsi="Calibri"/>
          <w:b/>
          <w:color w:val="525866"/>
          <w:sz w:val="22"/>
        </w:rPr>
        <w:t xml:space="preserve">Key Takeaway: </w:t>
      </w:r>
      <w:r>
        <w:rPr>
          <w:rFonts w:ascii="Calibri" w:hAnsi="Calibri"/>
          <w:color w:val="525866"/>
          <w:sz w:val="22"/>
        </w:rPr>
        <w:t xml:space="preserve">Peer commentary from Q1 2026 earnings calls (April–May 2026) and GM's Q2 2026 results (July 21, 2026) paint a </w:t>
      </w:r>
      <w:r>
        <w:rPr>
          <w:rFonts w:ascii="Calibri" w:hAnsi="Calibri"/>
          <w:b/>
          <w:color w:val="525866"/>
          <w:sz w:val="22"/>
        </w:rPr>
        <w:t>constructive backdrop for Tesla's Q2 print</w:t>
      </w:r>
      <w:r>
        <w:rPr>
          <w:rFonts w:ascii="Calibri" w:hAnsi="Calibri"/>
          <w:color w:val="525866"/>
          <w:sz w:val="22"/>
        </w:rPr>
        <w:t>: U.S. auto demand is stable (SAAR ~16M), EV pricing discipline is holding, and Chinese EV peers are reporting strong volume growth with improving margins — all positive read-throughs. GM's Q2 beat and raised guidance (reported today) is the most direct positive signal for the auto demand environment heading into Tesla's print tomorrow.</w:t>
      </w:r>
    </w:p>
    <w:p>
      <w:r>
        <w:rPr>
          <w:rFonts w:ascii="Calibri" w:hAnsi="Calibri"/>
          <w:i/>
          <w:color w:val="525866"/>
          <w:sz w:val="22"/>
        </w:rPr>
        <w:t>Note: Only commentary from Q1 2026 earnings calls (April–May 2026) and Q2 2026 results (July 2026) are included below, as these contain forward-looking commentary about Q2 2026 or the current operating environment. Prior-quarter results commentary has been excluded.</w:t>
      </w:r>
    </w:p>
    <w:p>
      <w:pPr>
        <w:pStyle w:val="Heading3"/>
      </w:pPr>
      <w:r>
        <w:rPr>
          <w:rFonts w:ascii="Calibri" w:hAnsi="Calibri"/>
          <w:b/>
          <w:color w:val="3B4259"/>
          <w:sz w:val="24"/>
        </w:rPr>
        <w:t>General Motors (GM) — Q2 2026 Results (July 21, 2026) — MOST DIRECT READ-THROUGH</w:t>
      </w:r>
    </w:p>
    <w:p>
      <w:pPr>
        <w:pStyle w:val="ListBullet"/>
        <w:ind w:left="360" w:hanging="360"/>
      </w:pPr>
      <w:r>
        <w:rPr>
          <w:rFonts w:ascii="Calibri" w:hAnsi="Calibri"/>
          <w:b/>
          <w:color w:val="525866"/>
          <w:sz w:val="22"/>
        </w:rPr>
        <w:t>U.S. Auto Demand Remains Robust:</w:t>
      </w:r>
      <w:r>
        <w:rPr>
          <w:rFonts w:ascii="Calibri" w:hAnsi="Calibri"/>
          <w:color w:val="525866"/>
          <w:sz w:val="22"/>
        </w:rPr>
        <w:t xml:space="preserve"> GM reported Q2 2026 revenue of $48.0B (+1.9% YoY) and EBIT-adjusted of $3.9B (+29.8% YoY), raising full-year guidance for the second time. North America EBIT-adjusted margin improved to 8.6% (+250 bps YoY). Customer demand in North America 'remained steady' for pickups and SUVs with 'consistent pricing.' U.S. SAAR assumed at low 16M units for full year. </w:t>
      </w:r>
      <w:r>
        <w:rPr>
          <w:rFonts w:ascii="Calibri" w:hAnsi="Calibri"/>
          <w:i/>
          <w:color w:val="525866"/>
          <w:sz w:val="22"/>
        </w:rPr>
        <w:t>Read-through: Stable U.S. auto demand environment is constructive for Tesla's Q2 delivery beat sustainability.</w:t>
      </w:r>
    </w:p>
    <w:p>
      <w:pPr>
        <w:pStyle w:val="ListBullet"/>
        <w:ind w:left="360" w:hanging="360"/>
      </w:pPr>
      <w:r>
        <w:rPr>
          <w:rFonts w:ascii="Calibri" w:hAnsi="Calibri"/>
          <w:b/>
          <w:color w:val="525866"/>
          <w:sz w:val="22"/>
        </w:rPr>
        <w:t>Pricing Discipline Holding Industry-Wide:</w:t>
      </w:r>
      <w:r>
        <w:rPr>
          <w:rFonts w:ascii="Calibri" w:hAnsi="Calibri"/>
          <w:color w:val="525866"/>
          <w:sz w:val="22"/>
        </w:rPr>
        <w:t xml:space="preserve"> GM's incentive spend as % of MSRP ran '1.5 to 2 points below the industry average.' Full-year North America pricing expected 'up around half a percent.' No heavy discounting observed at end of truck cycle. </w:t>
      </w:r>
      <w:r>
        <w:rPr>
          <w:rFonts w:ascii="Calibri" w:hAnsi="Calibri"/>
          <w:i/>
          <w:color w:val="525866"/>
          <w:sz w:val="22"/>
        </w:rPr>
        <w:t>Read-through: Pricing environment is not deteriorating, reducing risk of Tesla ASP compression in Q2.</w:t>
      </w:r>
    </w:p>
    <w:p>
      <w:pPr>
        <w:pStyle w:val="ListBullet"/>
        <w:ind w:left="360" w:hanging="360"/>
      </w:pPr>
      <w:r>
        <w:rPr>
          <w:rFonts w:ascii="Calibri" w:hAnsi="Calibri"/>
          <w:b/>
          <w:color w:val="525866"/>
          <w:sz w:val="22"/>
        </w:rPr>
        <w:t>EV Market Stabilizing at ~6% of U.S. Industry:</w:t>
      </w:r>
      <w:r>
        <w:rPr>
          <w:rFonts w:ascii="Calibri" w:hAnsi="Calibri"/>
          <w:color w:val="525866"/>
          <w:sz w:val="22"/>
        </w:rPr>
        <w:t xml:space="preserve"> GM noted EV market 'showing early signs of stabilizing around 6% of U.S. industry sales.' GM's EV market share reached 13% exiting Q1. EV losses expected to improve $1-1.5B for full year. </w:t>
      </w:r>
      <w:r>
        <w:rPr>
          <w:rFonts w:ascii="Calibri" w:hAnsi="Calibri"/>
          <w:i/>
          <w:color w:val="525866"/>
          <w:sz w:val="22"/>
        </w:rPr>
        <w:t>Read-through: EV market stabilization is a positive backdrop for Tesla's volume recovery; Tesla's 25% YoY delivery growth significantly outpaces the broader EV market.</w:t>
      </w:r>
    </w:p>
    <w:p>
      <w:pPr>
        <w:pStyle w:val="ListBullet"/>
        <w:ind w:left="360" w:hanging="360"/>
      </w:pPr>
      <w:r>
        <w:rPr>
          <w:rFonts w:ascii="Calibri" w:hAnsi="Calibri"/>
          <w:b/>
          <w:color w:val="525866"/>
          <w:sz w:val="22"/>
        </w:rPr>
        <w:t>Tariff Environment Manageable:</w:t>
      </w:r>
      <w:r>
        <w:rPr>
          <w:rFonts w:ascii="Calibri" w:hAnsi="Calibri"/>
          <w:color w:val="525866"/>
          <w:sz w:val="22"/>
        </w:rPr>
        <w:t xml:space="preserve"> GM's gross tariff costs now expected at $2.5-3.5B for full year (down from $3-4B original guidance due to Q1 tariff adjustment). 'All of this includes the impact of tariffs. We haven't made excuses. We've just continued to perform.' </w:t>
      </w:r>
      <w:r>
        <w:rPr>
          <w:rFonts w:ascii="Calibri" w:hAnsi="Calibri"/>
          <w:i/>
          <w:color w:val="525866"/>
          <w:sz w:val="22"/>
        </w:rPr>
        <w:t>Read-through: Tariff headwinds are real but manageable for the industry; Tesla's Q1 call flagged tariff relief as a one-time benefit, so Q2 margins will reflect the normalized tariff environment.</w:t>
      </w:r>
    </w:p>
    <w:p>
      <w:pPr>
        <w:pStyle w:val="ListBullet"/>
        <w:ind w:left="360" w:hanging="360"/>
      </w:pPr>
      <w:r>
        <w:rPr>
          <w:rFonts w:ascii="Calibri" w:hAnsi="Calibri"/>
          <w:b/>
          <w:color w:val="525866"/>
          <w:sz w:val="22"/>
        </w:rPr>
        <w:t>Autonomy as Long-Term Differentiator:</w:t>
      </w:r>
      <w:r>
        <w:rPr>
          <w:rFonts w:ascii="Calibri" w:hAnsi="Calibri"/>
          <w:color w:val="525866"/>
          <w:sz w:val="22"/>
        </w:rPr>
        <w:t xml:space="preserve"> GM's Super Cruise on pace to exceed 850K subscribers by year-end; 2028 hands-off launch program 'on track.' GM noted 'full autonomy where it can go anywhere at any time' is 'still a long way off' and current solutions are 'geofenced.' </w:t>
      </w:r>
      <w:r>
        <w:rPr>
          <w:rFonts w:ascii="Calibri" w:hAnsi="Calibri"/>
          <w:i/>
          <w:color w:val="525866"/>
          <w:sz w:val="22"/>
        </w:rPr>
        <w:t>Read-through: GM's commentary implicitly validates Tesla's lead in unsupervised FSD/Robotaxi — Tesla is already operating without safety monitors in 3 cities while GM's hands-off system doesn't launch until 2028.</w:t>
      </w:r>
    </w:p>
    <w:p>
      <w:pPr>
        <w:pStyle w:val="Heading3"/>
      </w:pPr>
      <w:r>
        <w:rPr>
          <w:rFonts w:ascii="Calibri" w:hAnsi="Calibri"/>
          <w:b/>
          <w:color w:val="3B4259"/>
          <w:sz w:val="24"/>
        </w:rPr>
        <w:t>General Motors (GM) — Q1 2026 Earnings Call (April 28, 2026)</w:t>
      </w:r>
    </w:p>
    <w:p>
      <w:pPr>
        <w:pStyle w:val="ListBullet"/>
        <w:ind w:left="360" w:hanging="360"/>
      </w:pPr>
      <w:r>
        <w:rPr>
          <w:rFonts w:ascii="Calibri" w:hAnsi="Calibri"/>
          <w:b/>
          <w:color w:val="525866"/>
          <w:sz w:val="22"/>
        </w:rPr>
        <w:t>Q2 2026 Inventory &amp; Demand Setup:</w:t>
      </w:r>
      <w:r>
        <w:rPr>
          <w:rFonts w:ascii="Calibri" w:hAnsi="Calibri"/>
          <w:color w:val="525866"/>
          <w:sz w:val="22"/>
        </w:rPr>
        <w:t xml:space="preserve"> GM began Q2 with ~47 days of supply on dealer lots, working to increase inventory of key products. SAAR holding steady in low 16M range. Showroom traffic stable. No material changes to demand or mix observed. </w:t>
      </w:r>
      <w:r>
        <w:rPr>
          <w:rFonts w:ascii="Calibri" w:hAnsi="Calibri"/>
          <w:i/>
          <w:color w:val="525866"/>
          <w:sz w:val="22"/>
        </w:rPr>
        <w:t>Read-through: Healthy dealer inventory and stable demand entering Q2 is a positive backdrop for Tesla's delivery beat.</w:t>
      </w:r>
    </w:p>
    <w:p>
      <w:pPr>
        <w:pStyle w:val="ListBullet"/>
        <w:ind w:left="360" w:hanging="360"/>
      </w:pPr>
      <w:r>
        <w:rPr>
          <w:rFonts w:ascii="Calibri" w:hAnsi="Calibri"/>
          <w:b/>
          <w:color w:val="525866"/>
          <w:sz w:val="22"/>
        </w:rPr>
        <w:t>EV Market Slower Than Expected:</w:t>
      </w:r>
      <w:r>
        <w:rPr>
          <w:rFonts w:ascii="Calibri" w:hAnsi="Calibri"/>
          <w:color w:val="525866"/>
          <w:sz w:val="22"/>
        </w:rPr>
        <w:t xml:space="preserve"> GM expects EV volumes to be lower for full year 2026 as market stabilizes around 6% of U.S. industry. EV losses down several hundred million YoY in Q1. </w:t>
      </w:r>
      <w:r>
        <w:rPr>
          <w:rFonts w:ascii="Calibri" w:hAnsi="Calibri"/>
          <w:i/>
          <w:color w:val="525866"/>
          <w:sz w:val="22"/>
        </w:rPr>
        <w:t>Read-through: Tesla's 25% YoY delivery growth in Q2 is dramatically outperforming the broader EV market, reinforcing its competitive position.</w:t>
      </w:r>
    </w:p>
    <w:p>
      <w:pPr>
        <w:pStyle w:val="Heading3"/>
      </w:pPr>
      <w:r>
        <w:rPr>
          <w:rFonts w:ascii="Calibri" w:hAnsi="Calibri"/>
          <w:b/>
          <w:color w:val="3B4259"/>
          <w:sz w:val="24"/>
        </w:rPr>
        <w:t>Ford (F) — Q1 2026 Earnings Call (April 29, 2026)</w:t>
      </w:r>
    </w:p>
    <w:p>
      <w:pPr>
        <w:pStyle w:val="ListBullet"/>
        <w:ind w:left="360" w:hanging="360"/>
      </w:pPr>
      <w:r>
        <w:rPr>
          <w:rFonts w:ascii="Calibri" w:hAnsi="Calibri"/>
          <w:b/>
          <w:color w:val="525866"/>
          <w:sz w:val="22"/>
        </w:rPr>
        <w:t>EV Market Moving Toward Affordable Segment:</w:t>
      </w:r>
      <w:r>
        <w:rPr>
          <w:rFonts w:ascii="Calibri" w:hAnsi="Calibri"/>
          <w:color w:val="525866"/>
          <w:sz w:val="22"/>
        </w:rPr>
        <w:t xml:space="preserve"> Ford noted 'EV volume really heading towards the affordable space,' favoring its UAV platform (launching 2027, priced below $50K). Ford's Model E losses expected at $4-4.5B for full year. Q1 was 'strongest quarter for Model E this year.' </w:t>
      </w:r>
      <w:r>
        <w:rPr>
          <w:rFonts w:ascii="Calibri" w:hAnsi="Calibri"/>
          <w:i/>
          <w:color w:val="525866"/>
          <w:sz w:val="22"/>
        </w:rPr>
        <w:t>Read-through: The EV market's shift toward affordability validates Tesla's Model 2/25K strategy and the Cybercab's mass-market positioning.</w:t>
      </w:r>
    </w:p>
    <w:p>
      <w:pPr>
        <w:pStyle w:val="ListBullet"/>
        <w:ind w:left="360" w:hanging="360"/>
      </w:pPr>
      <w:r>
        <w:rPr>
          <w:rFonts w:ascii="Calibri" w:hAnsi="Calibri"/>
          <w:b/>
          <w:color w:val="525866"/>
          <w:sz w:val="22"/>
        </w:rPr>
        <w:t>U.S. SAAR Assumed at 16-16.5M Units:</w:t>
      </w:r>
      <w:r>
        <w:rPr>
          <w:rFonts w:ascii="Calibri" w:hAnsi="Calibri"/>
          <w:color w:val="525866"/>
          <w:sz w:val="22"/>
        </w:rPr>
        <w:t xml:space="preserve"> Ford's full-year guidance assumes SAAR of 16-16.5M units and flat industry pricing. F-Series demand 'healthy as inventory recovers.' Raised full-year adjusted EBIT guidance to $8.5-10.5B. </w:t>
      </w:r>
      <w:r>
        <w:rPr>
          <w:rFonts w:ascii="Calibri" w:hAnsi="Calibri"/>
          <w:i/>
          <w:color w:val="525866"/>
          <w:sz w:val="22"/>
        </w:rPr>
        <w:t>Read-through: Consistent with GM's demand read; stable U.S. auto market is a positive backdrop for Tesla's Q2 delivery beat.</w:t>
      </w:r>
    </w:p>
    <w:p>
      <w:pPr>
        <w:pStyle w:val="ListBullet"/>
        <w:ind w:left="360" w:hanging="360"/>
      </w:pPr>
      <w:r>
        <w:rPr>
          <w:rFonts w:ascii="Calibri" w:hAnsi="Calibri"/>
          <w:b/>
          <w:color w:val="525866"/>
          <w:sz w:val="22"/>
        </w:rPr>
        <w:t>Commodity Headwinds Building:</w:t>
      </w:r>
      <w:r>
        <w:rPr>
          <w:rFonts w:ascii="Calibri" w:hAnsi="Calibri"/>
          <w:color w:val="525866"/>
          <w:sz w:val="22"/>
        </w:rPr>
        <w:t xml:space="preserve"> Ford now expects commodity headwinds of 'just above $2B' for full year, ~$1B higher than prior estimate, largely due to higher aluminum pricing. DRAM costs also flagged as an industry-wide headwind. </w:t>
      </w:r>
      <w:r>
        <w:rPr>
          <w:rFonts w:ascii="Calibri" w:hAnsi="Calibri"/>
          <w:i/>
          <w:color w:val="525866"/>
          <w:sz w:val="22"/>
        </w:rPr>
        <w:t>Read-through: Rising commodity costs (aluminum, DRAM) are an industry-wide headwind that could pressure Tesla's Q2 automotive margins, consistent with management's cautious tone on Q1 call.</w:t>
      </w:r>
    </w:p>
    <w:p>
      <w:pPr>
        <w:pStyle w:val="Heading3"/>
      </w:pPr>
      <w:r>
        <w:rPr>
          <w:rFonts w:ascii="Calibri" w:hAnsi="Calibri"/>
          <w:b/>
          <w:color w:val="3B4259"/>
          <w:sz w:val="24"/>
        </w:rPr>
        <w:t>Rivian (RIVN) — Q1 2026 Earnings Call (April 30, 2026)</w:t>
      </w:r>
    </w:p>
    <w:p>
      <w:pPr>
        <w:pStyle w:val="ListBullet"/>
        <w:ind w:left="360" w:hanging="360"/>
      </w:pPr>
      <w:r>
        <w:rPr>
          <w:rFonts w:ascii="Calibri" w:hAnsi="Calibri"/>
          <w:b/>
          <w:color w:val="525866"/>
          <w:sz w:val="22"/>
        </w:rPr>
        <w:t>R2 Launch Enthusiasm &amp; EV Demand Signal:</w:t>
      </w:r>
      <w:r>
        <w:rPr>
          <w:rFonts w:ascii="Calibri" w:hAnsi="Calibri"/>
          <w:color w:val="525866"/>
          <w:sz w:val="22"/>
        </w:rPr>
        <w:t xml:space="preserve"> Rivian started R2 deliveries to employees with 'overwhelmingly positive' response. R2 BOM expected to be ~half of R1 platform; non-BOM COGS expected to decline &gt;50%. Q2 deliveries guided at 9,000-11,000 vehicles (back-half weighted R2 ramp). 2026 full-year delivery guidance of 62,000-67,000 maintained. </w:t>
      </w:r>
      <w:r>
        <w:rPr>
          <w:rFonts w:ascii="Calibri" w:hAnsi="Calibri"/>
          <w:i/>
          <w:color w:val="525866"/>
          <w:sz w:val="22"/>
        </w:rPr>
        <w:t>Read-through: Strong consumer enthusiasm for new EV models at accessible price points is a positive signal for Tesla's Model 2/25K and Cybercab demand thesis.</w:t>
      </w:r>
    </w:p>
    <w:p>
      <w:pPr>
        <w:pStyle w:val="ListBullet"/>
        <w:ind w:left="360" w:hanging="360"/>
      </w:pPr>
      <w:r>
        <w:rPr>
          <w:rFonts w:ascii="Calibri" w:hAnsi="Calibri"/>
          <w:b/>
          <w:color w:val="525866"/>
          <w:sz w:val="22"/>
        </w:rPr>
        <w:t>Autonomy Partnership with Uber:</w:t>
      </w:r>
      <w:r>
        <w:rPr>
          <w:rFonts w:ascii="Calibri" w:hAnsi="Calibri"/>
          <w:color w:val="525866"/>
          <w:sz w:val="22"/>
        </w:rPr>
        <w:t xml:space="preserve"> Rivian announced strategic partnership with Uber to accelerate autonomous vehicle goals. Autonomy+ take rate 'higher than expected.' Point-to-point capabilities expected by end of 2026; Level 3 'eyes off' in 2027; Level 4 Robotaxi in 2028. </w:t>
      </w:r>
      <w:r>
        <w:rPr>
          <w:rFonts w:ascii="Calibri" w:hAnsi="Calibri"/>
          <w:i/>
          <w:color w:val="525866"/>
          <w:sz w:val="22"/>
        </w:rPr>
        <w:t>Read-through: Rivian's 2028 L4 timeline vs. Tesla's current unsupervised Robotaxi operations highlights Tesla's significant lead in autonomous deployment.</w:t>
      </w:r>
    </w:p>
    <w:p>
      <w:pPr>
        <w:pStyle w:val="ListBullet"/>
        <w:ind w:left="360" w:hanging="360"/>
      </w:pPr>
      <w:r>
        <w:rPr>
          <w:rFonts w:ascii="Calibri" w:hAnsi="Calibri"/>
          <w:b/>
          <w:color w:val="525866"/>
          <w:sz w:val="22"/>
        </w:rPr>
        <w:t>Tariff Uncertainty Manageable:</w:t>
      </w:r>
      <w:r>
        <w:rPr>
          <w:rFonts w:ascii="Calibri" w:hAnsi="Calibri"/>
          <w:color w:val="525866"/>
          <w:sz w:val="22"/>
        </w:rPr>
        <w:t xml:space="preserve"> Rivian did not book IEEPA tariff charges in Q1, with potential future recovery 'in the tens of millions.' 2026 guidance maintained despite tornado damage to Normal factory. CapEx guidance maintained at $1.95-2.05B. </w:t>
      </w:r>
      <w:r>
        <w:rPr>
          <w:rFonts w:ascii="Calibri" w:hAnsi="Calibri"/>
          <w:i/>
          <w:color w:val="525866"/>
          <w:sz w:val="22"/>
        </w:rPr>
        <w:t>Read-through: Tariff environment is manageable for EV manufacturers; consistent with Tesla's Q1 commentary.</w:t>
      </w:r>
    </w:p>
    <w:p>
      <w:pPr>
        <w:pStyle w:val="Heading3"/>
      </w:pPr>
      <w:r>
        <w:rPr>
          <w:rFonts w:ascii="Calibri" w:hAnsi="Calibri"/>
          <w:b/>
          <w:color w:val="3B4259"/>
          <w:sz w:val="24"/>
        </w:rPr>
        <w:t>Lucid (LCID) — Q1 2026 Earnings Call (May 5, 2026)</w:t>
      </w:r>
    </w:p>
    <w:p>
      <w:pPr>
        <w:pStyle w:val="ListBullet"/>
        <w:ind w:left="360" w:hanging="360"/>
      </w:pPr>
      <w:r>
        <w:rPr>
          <w:rFonts w:ascii="Calibri" w:hAnsi="Calibri"/>
          <w:b/>
          <w:color w:val="525866"/>
          <w:sz w:val="22"/>
        </w:rPr>
        <w:t>Near-Term EV Demand Mixed, H2 Tailwinds Building:</w:t>
      </w:r>
      <w:r>
        <w:rPr>
          <w:rFonts w:ascii="Calibri" w:hAnsi="Calibri"/>
          <w:color w:val="525866"/>
          <w:sz w:val="22"/>
        </w:rPr>
        <w:t xml:space="preserve"> Lucid's interim CEO noted 'near-term demand signals are mixed, but we see tailwinds building into the second half,' including high gas prices, competitive exits from Air/Gravity segments, and potential tariffs on European imports. Q1 deliveries of 3,093 vehicles were flat YoY. Guidance suspended pending new CEO review. </w:t>
      </w:r>
      <w:r>
        <w:rPr>
          <w:rFonts w:ascii="Calibri" w:hAnsi="Calibri"/>
          <w:i/>
          <w:color w:val="525866"/>
          <w:sz w:val="22"/>
        </w:rPr>
        <w:t>Read-through: Lucid's demand challenges are specific to the ultra-premium segment and do not read through to Tesla's mass-market volumes.</w:t>
      </w:r>
    </w:p>
    <w:p>
      <w:pPr>
        <w:pStyle w:val="ListBullet"/>
        <w:ind w:left="360" w:hanging="360"/>
      </w:pPr>
      <w:r>
        <w:rPr>
          <w:rFonts w:ascii="Calibri" w:hAnsi="Calibri"/>
          <w:b/>
          <w:color w:val="525866"/>
          <w:sz w:val="22"/>
        </w:rPr>
        <w:t>Uber Robotaxi Partnership Expanded:</w:t>
      </w:r>
      <w:r>
        <w:rPr>
          <w:rFonts w:ascii="Calibri" w:hAnsi="Calibri"/>
          <w:color w:val="525866"/>
          <w:sz w:val="22"/>
        </w:rPr>
        <w:t xml:space="preserve"> Lucid expanded Uber partnership to at least 35,000 robotaxis (from 20,000), with Uber's investment raised to $500M (from $300M). Commercial launch on track for late 2026. Nuro received California DMV approval for driverless testing of Lucid Gravity. </w:t>
      </w:r>
      <w:r>
        <w:rPr>
          <w:rFonts w:ascii="Calibri" w:hAnsi="Calibri"/>
          <w:i/>
          <w:color w:val="525866"/>
          <w:sz w:val="22"/>
        </w:rPr>
        <w:t>Read-through: Growing robotaxi ecosystem validates the commercial opportunity; Tesla's own Robotaxi fleet is already operating without safety monitors, ahead of Lucid's late-2026 commercial launch target.</w:t>
      </w:r>
    </w:p>
    <w:p>
      <w:pPr>
        <w:pStyle w:val="Heading3"/>
      </w:pPr>
      <w:r>
        <w:rPr>
          <w:rFonts w:ascii="Calibri" w:hAnsi="Calibri"/>
          <w:b/>
          <w:color w:val="3B4259"/>
          <w:sz w:val="24"/>
        </w:rPr>
        <w:t>NIO — Q1 2026 Earnings Call (May 21, 2026)</w:t>
      </w:r>
    </w:p>
    <w:p>
      <w:pPr>
        <w:pStyle w:val="ListBullet"/>
        <w:ind w:left="360" w:hanging="360"/>
      </w:pPr>
      <w:r>
        <w:rPr>
          <w:rFonts w:ascii="Calibri" w:hAnsi="Calibri"/>
          <w:b/>
          <w:color w:val="525866"/>
          <w:sz w:val="22"/>
        </w:rPr>
        <w:t>Strong China EV Volume Growth (+98% YoY):</w:t>
      </w:r>
      <w:r>
        <w:rPr>
          <w:rFonts w:ascii="Calibri" w:hAnsi="Calibri"/>
          <w:color w:val="525866"/>
          <w:sz w:val="22"/>
        </w:rPr>
        <w:t xml:space="preserve"> NIO delivered 83,465 smart EVs in Q1 2026 (+98.3% YoY), with April deliveries of 29,356 (+22.8% YoY). NIO brand maintained leadership in China BEV segment above RMB 300K. Three brands (NIO, ONVO, Firefly) all growing. </w:t>
      </w:r>
      <w:r>
        <w:rPr>
          <w:rFonts w:ascii="Calibri" w:hAnsi="Calibri"/>
          <w:i/>
          <w:color w:val="525866"/>
          <w:sz w:val="22"/>
        </w:rPr>
        <w:t>Read-through: China EV market is growing strongly, validating Tesla's China demand recovery narrative (APAC growth flagged on Q1 call).</w:t>
      </w:r>
    </w:p>
    <w:p>
      <w:pPr>
        <w:pStyle w:val="ListBullet"/>
        <w:ind w:left="360" w:hanging="360"/>
      </w:pPr>
      <w:r>
        <w:rPr>
          <w:rFonts w:ascii="Calibri" w:hAnsi="Calibri"/>
          <w:b/>
          <w:color w:val="525866"/>
          <w:sz w:val="22"/>
        </w:rPr>
        <w:t>Rising Material Costs Pressuring Margins:</w:t>
      </w:r>
      <w:r>
        <w:rPr>
          <w:rFonts w:ascii="Calibri" w:hAnsi="Calibri"/>
          <w:color w:val="525866"/>
          <w:sz w:val="22"/>
        </w:rPr>
        <w:t xml:space="preserve"> NIO flagged rising raw material costs (memory chips, lithium carbonate, NCM, copper, aluminum) with per-unit cost impact of 'around RMB 10,000 or more' starting Q2. Strategy is to 'stabilize prices while dialing back on discounts.' Q2 vehicle margin targeted at 17-18%. </w:t>
      </w:r>
      <w:r>
        <w:rPr>
          <w:rFonts w:ascii="Calibri" w:hAnsi="Calibri"/>
          <w:i/>
          <w:color w:val="525866"/>
          <w:sz w:val="22"/>
        </w:rPr>
        <w:t>Read-through: Industry-wide material cost inflation (especially DRAM/memory) is a headwind for Tesla's Q2 automotive margins — consistent with management's cautious tone on Q1 call.</w:t>
      </w:r>
    </w:p>
    <w:p>
      <w:pPr>
        <w:pStyle w:val="ListBullet"/>
        <w:ind w:left="360" w:hanging="360"/>
      </w:pPr>
      <w:r>
        <w:rPr>
          <w:rFonts w:ascii="Calibri" w:hAnsi="Calibri"/>
          <w:b/>
          <w:color w:val="525866"/>
          <w:sz w:val="22"/>
        </w:rPr>
        <w:t>ADAS Monetization via Subscriptions:</w:t>
      </w:r>
      <w:r>
        <w:rPr>
          <w:rFonts w:ascii="Calibri" w:hAnsi="Calibri"/>
          <w:color w:val="525866"/>
          <w:sz w:val="22"/>
        </w:rPr>
        <w:t xml:space="preserve"> NIO views ADAS subscriptions as 'a very important revenue driver.' NWM upgrade drove 92% QoQ increase in urban NOP mileage. In-house NX9031 chip (5nm, world's first automotive-grade) deployed across fleet. </w:t>
      </w:r>
      <w:r>
        <w:rPr>
          <w:rFonts w:ascii="Calibri" w:hAnsi="Calibri"/>
          <w:i/>
          <w:color w:val="525866"/>
          <w:sz w:val="22"/>
        </w:rPr>
        <w:t>Read-through: Chinese EV peers are aggressively monetizing ADAS via subscriptions, validating Tesla's FSD subscription model and the importance of the ~1.28M paid FSD customer base.</w:t>
      </w:r>
    </w:p>
    <w:p>
      <w:pPr>
        <w:pStyle w:val="Heading3"/>
      </w:pPr>
      <w:r>
        <w:rPr>
          <w:rFonts w:ascii="Calibri" w:hAnsi="Calibri"/>
          <w:b/>
          <w:color w:val="3B4259"/>
          <w:sz w:val="24"/>
        </w:rPr>
        <w:t>Li Auto (LI) — Q1 2026 Earnings Call (May 28, 2026)</w:t>
      </w:r>
    </w:p>
    <w:p>
      <w:pPr>
        <w:pStyle w:val="ListBullet"/>
        <w:ind w:left="360" w:hanging="360"/>
      </w:pPr>
      <w:r>
        <w:rPr>
          <w:rFonts w:ascii="Calibri" w:hAnsi="Calibri"/>
          <w:b/>
          <w:color w:val="525866"/>
          <w:sz w:val="22"/>
        </w:rPr>
        <w:t>Q2 2026 Delivery Guidance of 95,000-100,000 Units:</w:t>
      </w:r>
      <w:r>
        <w:rPr>
          <w:rFonts w:ascii="Calibri" w:hAnsi="Calibri"/>
          <w:color w:val="525866"/>
          <w:sz w:val="22"/>
        </w:rPr>
        <w:t xml:space="preserve"> Li Auto guided Q2 deliveries of 95,000-100,000 vehicles and revenue of RMB 24.1-25.4B. Gross margin expected to recover to ~10% in Q2 (from 7.9% in Q1) driven by all-new L9 launch. Full-year sales growth target of 20% maintained. </w:t>
      </w:r>
      <w:r>
        <w:rPr>
          <w:rFonts w:ascii="Calibri" w:hAnsi="Calibri"/>
          <w:i/>
          <w:color w:val="525866"/>
          <w:sz w:val="22"/>
        </w:rPr>
        <w:t>Read-through: Li Auto's Q2 volume recovery and margin improvement trajectory is a positive read-through for China EV demand and Tesla's China operations.</w:t>
      </w:r>
    </w:p>
    <w:p>
      <w:pPr>
        <w:pStyle w:val="ListBullet"/>
        <w:ind w:left="360" w:hanging="360"/>
      </w:pPr>
      <w:r>
        <w:rPr>
          <w:rFonts w:ascii="Calibri" w:hAnsi="Calibri"/>
          <w:b/>
          <w:color w:val="525866"/>
          <w:sz w:val="22"/>
        </w:rPr>
        <w:t>Goal to Match Tesla FSD v14 Performance in H2 2026:</w:t>
      </w:r>
      <w:r>
        <w:rPr>
          <w:rFonts w:ascii="Calibri" w:hAnsi="Calibri"/>
          <w:color w:val="525866"/>
          <w:sz w:val="22"/>
        </w:rPr>
        <w:t xml:space="preserve"> Li Auto explicitly stated its goal is to 'match the performance of Tesla's FSD v14 in the United States in the second half of this year.' Deployed proprietary MAHE M100 chip (5nm) and MindVLA model in all-new L9. </w:t>
      </w:r>
      <w:r>
        <w:rPr>
          <w:rFonts w:ascii="Calibri" w:hAnsi="Calibri"/>
          <w:i/>
          <w:color w:val="525866"/>
          <w:sz w:val="22"/>
        </w:rPr>
        <w:t>Read-through: Tesla's FSD v14 is the benchmark that Chinese EV peers are targeting — reinforces Tesla's current technology lead, though the competitive gap is narrowing.</w:t>
      </w:r>
    </w:p>
    <w:p>
      <w:pPr>
        <w:pStyle w:val="ListBullet"/>
        <w:ind w:left="360" w:hanging="360"/>
      </w:pPr>
      <w:r>
        <w:rPr>
          <w:rFonts w:ascii="Calibri" w:hAnsi="Calibri"/>
          <w:b/>
          <w:color w:val="525866"/>
          <w:sz w:val="22"/>
        </w:rPr>
        <w:t>Humanoid Robots Still 3+ Years from Mass Commercialization:</w:t>
      </w:r>
      <w:r>
        <w:rPr>
          <w:rFonts w:ascii="Calibri" w:hAnsi="Calibri"/>
          <w:color w:val="525866"/>
          <w:sz w:val="22"/>
        </w:rPr>
        <w:t xml:space="preserve"> Li Auto stated humanoid robots will 'still take more than 3 years' to reach full-scale commercialization due to unresolved technological challenges. </w:t>
      </w:r>
      <w:r>
        <w:rPr>
          <w:rFonts w:ascii="Calibri" w:hAnsi="Calibri"/>
          <w:i/>
          <w:color w:val="525866"/>
          <w:sz w:val="22"/>
        </w:rPr>
        <w:t>Read-through: Li Auto's conservative humanoid timeline contrasts with Tesla's Optimus production start in late July/August 2026 — if Tesla delivers on this timeline, it would represent a significant competitive advantage.</w:t>
      </w:r>
    </w:p>
    <w:p>
      <w:pPr>
        <w:pStyle w:val="Heading3"/>
      </w:pPr>
      <w:r>
        <w:rPr>
          <w:rFonts w:ascii="Calibri" w:hAnsi="Calibri"/>
          <w:b/>
          <w:color w:val="3B4259"/>
          <w:sz w:val="24"/>
        </w:rPr>
        <w:t>XPeng (XPEV) — Q1 2026 Earnings Call (May 28, 2026)</w:t>
      </w:r>
    </w:p>
    <w:p>
      <w:pPr>
        <w:pStyle w:val="ListBullet"/>
        <w:ind w:left="360" w:hanging="360"/>
      </w:pPr>
      <w:r>
        <w:rPr>
          <w:rFonts w:ascii="Calibri" w:hAnsi="Calibri"/>
          <w:b/>
          <w:color w:val="525866"/>
          <w:sz w:val="22"/>
        </w:rPr>
        <w:t>Q2 2026 Delivery Guidance of 100,000-106,000 Units (+59-69% QoQ):</w:t>
      </w:r>
      <w:r>
        <w:rPr>
          <w:rFonts w:ascii="Calibri" w:hAnsi="Calibri"/>
          <w:color w:val="525866"/>
          <w:sz w:val="22"/>
        </w:rPr>
        <w:t xml:space="preserve"> XPeng guided Q2 deliveries of 100,000-106,000 units and revenue of RMB 19.6-20.8B. Q1 gross margin was 20.6% (vs. 15.6% in Q1 2025). Q2 gross margin expected at similar level to Q1. ADAS mileage penetration on VLA 2.0 vehicles surpassed 50% in April. </w:t>
      </w:r>
      <w:r>
        <w:rPr>
          <w:rFonts w:ascii="Calibri" w:hAnsi="Calibri"/>
          <w:i/>
          <w:color w:val="525866"/>
          <w:sz w:val="22"/>
        </w:rPr>
        <w:t>Read-through: XPeng's strong Q2 volume guidance and improving margins are a positive read-through for China EV demand; ADAS penetration above 50% validates the autonomous driving monetization thesis.</w:t>
      </w:r>
    </w:p>
    <w:p>
      <w:pPr>
        <w:pStyle w:val="ListBullet"/>
        <w:ind w:left="360" w:hanging="360"/>
      </w:pPr>
      <w:r>
        <w:rPr>
          <w:rFonts w:ascii="Calibri" w:hAnsi="Calibri"/>
          <w:b/>
          <w:color w:val="525866"/>
          <w:sz w:val="22"/>
        </w:rPr>
        <w:t>Memory Chip &amp; Battery Cost Headwinds:</w:t>
      </w:r>
      <w:r>
        <w:rPr>
          <w:rFonts w:ascii="Calibri" w:hAnsi="Calibri"/>
          <w:color w:val="525866"/>
          <w:sz w:val="22"/>
        </w:rPr>
        <w:t xml:space="preserve"> XPeng noted Q1 vehicle margin declined QoQ 'due to higher unit vehicle costs resulting from increased memory chip and battery-related costs.' Q2 gross margin expected flat QoQ despite higher volume and better mix. </w:t>
      </w:r>
      <w:r>
        <w:rPr>
          <w:rFonts w:ascii="Calibri" w:hAnsi="Calibri"/>
          <w:i/>
          <w:color w:val="525866"/>
          <w:sz w:val="22"/>
        </w:rPr>
        <w:t>Read-through: Memory chip and battery cost inflation is a confirmed industry-wide headwind for Q2 margins — directly relevant to Tesla's Q2 automotive margin outlook.</w:t>
      </w:r>
    </w:p>
    <w:p>
      <w:pPr>
        <w:pStyle w:val="ListBullet"/>
        <w:ind w:left="360" w:hanging="360"/>
      </w:pPr>
      <w:r>
        <w:rPr>
          <w:rFonts w:ascii="Calibri" w:hAnsi="Calibri"/>
          <w:b/>
          <w:color w:val="525866"/>
          <w:sz w:val="22"/>
        </w:rPr>
        <w:t>Robotaxi Commercial Opportunity After 2028:</w:t>
      </w:r>
      <w:r>
        <w:rPr>
          <w:rFonts w:ascii="Calibri" w:hAnsi="Calibri"/>
          <w:color w:val="525866"/>
          <w:sz w:val="22"/>
        </w:rPr>
        <w:t xml:space="preserve"> XPeng expects 'a huge commercial opportunity for Robotaxi after 2028.' GX sedan undergoing L4 testing in Guangzhou; pilot passenger operations targeted for Q3 2026. VLA 2.0 upgrade scheduled for Q3 2026. </w:t>
      </w:r>
      <w:r>
        <w:rPr>
          <w:rFonts w:ascii="Calibri" w:hAnsi="Calibri"/>
          <w:i/>
          <w:color w:val="525866"/>
          <w:sz w:val="22"/>
        </w:rPr>
        <w:t>Read-through: XPeng's 2028+ Robotaxi commercial timeline vs. Tesla's current operational Robotaxi fleet (Austin, Dallas, Houston) highlights Tesla's 2+ year lead in autonomous deployment.</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w:t>
            </w:r>
          </w:p>
        </w:tc>
        <w:tc>
          <w:tcPr>
            <w:tcW w:type="dxa" w:w="2880"/>
            <w:shd w:val="clear" w:color="auto" w:fill="3B4259"/>
          </w:tcPr>
          <w:p>
            <w:r>
              <w:rPr>
                <w:rFonts w:ascii="Calibri" w:hAnsi="Calibri"/>
                <w:b/>
                <w:color w:val="FFFFFF"/>
                <w:sz w:val="22"/>
              </w:rPr>
              <w:t>Key Q2 2026 Read-Through</w:t>
            </w:r>
          </w:p>
        </w:tc>
        <w:tc>
          <w:tcPr>
            <w:tcW w:type="dxa" w:w="2880"/>
            <w:shd w:val="clear" w:color="auto" w:fill="3B4259"/>
          </w:tcPr>
          <w:p>
            <w:r>
              <w:rPr>
                <w:rFonts w:ascii="Calibri" w:hAnsi="Calibri"/>
                <w:b/>
                <w:color w:val="FFFFFF"/>
                <w:sz w:val="22"/>
              </w:rPr>
              <w:t>Direction for TSLA</w:t>
            </w:r>
          </w:p>
        </w:tc>
      </w:tr>
      <w:tr>
        <w:tc>
          <w:tcPr>
            <w:tcW w:type="dxa" w:w="2880"/>
          </w:tcPr>
          <w:p>
            <w:r>
              <w:rPr>
                <w:rFonts w:ascii="Calibri" w:hAnsi="Calibri"/>
                <w:sz w:val="22"/>
              </w:rPr>
              <w:t>GM (Q2 2026 results, July 21)</w:t>
            </w:r>
          </w:p>
        </w:tc>
        <w:tc>
          <w:tcPr>
            <w:tcW w:type="dxa" w:w="2880"/>
          </w:tcPr>
          <w:p>
            <w:r>
              <w:rPr>
                <w:rFonts w:ascii="Calibri" w:hAnsi="Calibri"/>
                <w:sz w:val="22"/>
              </w:rPr>
              <w:t>U.S. SAAR stable at ~16M; pricing discipline holding; EBIT-adjusted +29.8% YoY; raised FY guidance for 2nd time</w:t>
            </w:r>
          </w:p>
        </w:tc>
        <w:tc>
          <w:tcPr>
            <w:tcW w:type="dxa" w:w="2880"/>
          </w:tcPr>
          <w:p>
            <w:r>
              <w:rPr>
                <w:rFonts w:ascii="Calibri" w:hAnsi="Calibri"/>
                <w:b/>
                <w:color w:val="30A46C"/>
                <w:sz w:val="22"/>
              </w:rPr>
              <w:t>Positive</w:t>
            </w:r>
          </w:p>
        </w:tc>
      </w:tr>
      <w:tr>
        <w:tc>
          <w:tcPr>
            <w:tcW w:type="dxa" w:w="2880"/>
          </w:tcPr>
          <w:p>
            <w:r>
              <w:rPr>
                <w:rFonts w:ascii="Calibri" w:hAnsi="Calibri"/>
                <w:sz w:val="22"/>
              </w:rPr>
              <w:t>GM (Q1 2026 call, Apr 28)</w:t>
            </w:r>
          </w:p>
        </w:tc>
        <w:tc>
          <w:tcPr>
            <w:tcW w:type="dxa" w:w="2880"/>
          </w:tcPr>
          <w:p>
            <w:r>
              <w:rPr>
                <w:rFonts w:ascii="Calibri" w:hAnsi="Calibri"/>
                <w:sz w:val="22"/>
              </w:rPr>
              <w:t>Q2 started with 47 days supply; demand stable; EV market stabilizing at ~6% of U.S. industry</w:t>
            </w:r>
          </w:p>
        </w:tc>
        <w:tc>
          <w:tcPr>
            <w:tcW w:type="dxa" w:w="2880"/>
          </w:tcPr>
          <w:p>
            <w:r>
              <w:rPr>
                <w:rFonts w:ascii="Calibri" w:hAnsi="Calibri"/>
                <w:b/>
                <w:color w:val="30A46C"/>
                <w:sz w:val="22"/>
              </w:rPr>
              <w:t>Positive</w:t>
            </w:r>
          </w:p>
        </w:tc>
      </w:tr>
      <w:tr>
        <w:tc>
          <w:tcPr>
            <w:tcW w:type="dxa" w:w="2880"/>
          </w:tcPr>
          <w:p>
            <w:r>
              <w:rPr>
                <w:rFonts w:ascii="Calibri" w:hAnsi="Calibri"/>
                <w:sz w:val="22"/>
              </w:rPr>
              <w:t>Ford (Q1 2026 call, Apr 29)</w:t>
            </w:r>
          </w:p>
        </w:tc>
        <w:tc>
          <w:tcPr>
            <w:tcW w:type="dxa" w:w="2880"/>
          </w:tcPr>
          <w:p>
            <w:r>
              <w:rPr>
                <w:rFonts w:ascii="Calibri" w:hAnsi="Calibri"/>
                <w:sz w:val="22"/>
              </w:rPr>
              <w:t>SAAR 16-16.5M; commodity headwinds +$1B vs. prior (aluminum, DRAM); EV market moving toward affordable segment</w:t>
            </w:r>
          </w:p>
        </w:tc>
        <w:tc>
          <w:tcPr>
            <w:tcW w:type="dxa" w:w="2880"/>
          </w:tcPr>
          <w:p>
            <w:r>
              <w:rPr>
                <w:rFonts w:ascii="Calibri" w:hAnsi="Calibri"/>
                <w:b/>
                <w:color w:val="002FA7"/>
                <w:sz w:val="22"/>
              </w:rPr>
              <w:t>Mixed</w:t>
            </w:r>
          </w:p>
        </w:tc>
      </w:tr>
      <w:tr>
        <w:tc>
          <w:tcPr>
            <w:tcW w:type="dxa" w:w="2880"/>
          </w:tcPr>
          <w:p>
            <w:r>
              <w:rPr>
                <w:rFonts w:ascii="Calibri" w:hAnsi="Calibri"/>
                <w:sz w:val="22"/>
              </w:rPr>
              <w:t>Rivian (Q1 2026 call, Apr 30)</w:t>
            </w:r>
          </w:p>
        </w:tc>
        <w:tc>
          <w:tcPr>
            <w:tcW w:type="dxa" w:w="2880"/>
          </w:tcPr>
          <w:p>
            <w:r>
              <w:rPr>
                <w:rFonts w:ascii="Calibri" w:hAnsi="Calibri"/>
                <w:sz w:val="22"/>
              </w:rPr>
              <w:t>R2 demand 'overwhelmingly positive'; Uber autonomy partnership; Q2 deliveries 9-11K (back-half weighted)</w:t>
            </w:r>
          </w:p>
        </w:tc>
        <w:tc>
          <w:tcPr>
            <w:tcW w:type="dxa" w:w="2880"/>
          </w:tcPr>
          <w:p>
            <w:r>
              <w:rPr>
                <w:rFonts w:ascii="Calibri" w:hAnsi="Calibri"/>
                <w:b/>
                <w:color w:val="30A46C"/>
                <w:sz w:val="22"/>
              </w:rPr>
              <w:t>Positive</w:t>
            </w:r>
          </w:p>
        </w:tc>
      </w:tr>
      <w:tr>
        <w:tc>
          <w:tcPr>
            <w:tcW w:type="dxa" w:w="2880"/>
          </w:tcPr>
          <w:p>
            <w:r>
              <w:rPr>
                <w:rFonts w:ascii="Calibri" w:hAnsi="Calibri"/>
                <w:sz w:val="22"/>
              </w:rPr>
              <w:t>Lucid (Q1 2026 call, May 5)</w:t>
            </w:r>
          </w:p>
        </w:tc>
        <w:tc>
          <w:tcPr>
            <w:tcW w:type="dxa" w:w="2880"/>
          </w:tcPr>
          <w:p>
            <w:r>
              <w:rPr>
                <w:rFonts w:ascii="Calibri" w:hAnsi="Calibri"/>
                <w:sz w:val="22"/>
              </w:rPr>
              <w:t>Near-term demand 'mixed'; Uber robotaxi partnership expanded to 35K vehicles; guidance suspended</w:t>
            </w:r>
          </w:p>
        </w:tc>
        <w:tc>
          <w:tcPr>
            <w:tcW w:type="dxa" w:w="2880"/>
          </w:tcPr>
          <w:p>
            <w:r>
              <w:rPr>
                <w:rFonts w:ascii="Calibri" w:hAnsi="Calibri"/>
                <w:b/>
                <w:color w:val="002FA7"/>
                <w:sz w:val="22"/>
              </w:rPr>
              <w:t>Neutral (segment-specific)</w:t>
            </w:r>
          </w:p>
        </w:tc>
      </w:tr>
      <w:tr>
        <w:tc>
          <w:tcPr>
            <w:tcW w:type="dxa" w:w="2880"/>
          </w:tcPr>
          <w:p>
            <w:r>
              <w:rPr>
                <w:rFonts w:ascii="Calibri" w:hAnsi="Calibri"/>
                <w:sz w:val="22"/>
              </w:rPr>
              <w:t>NIO (Q1 2026 call, May 21)</w:t>
            </w:r>
          </w:p>
        </w:tc>
        <w:tc>
          <w:tcPr>
            <w:tcW w:type="dxa" w:w="2880"/>
          </w:tcPr>
          <w:p>
            <w:r>
              <w:rPr>
                <w:rFonts w:ascii="Calibri" w:hAnsi="Calibri"/>
                <w:sz w:val="22"/>
              </w:rPr>
              <w:t>China EV deliveries +98% YoY; DRAM/memory cost headwind ~RMB 10K/unit starting Q2; ADAS subscription monetization growing</w:t>
            </w:r>
          </w:p>
        </w:tc>
        <w:tc>
          <w:tcPr>
            <w:tcW w:type="dxa" w:w="2880"/>
          </w:tcPr>
          <w:p>
            <w:r>
              <w:rPr>
                <w:rFonts w:ascii="Calibri" w:hAnsi="Calibri"/>
                <w:b/>
                <w:color w:val="002FA7"/>
                <w:sz w:val="22"/>
              </w:rPr>
              <w:t>Mixed</w:t>
            </w:r>
          </w:p>
        </w:tc>
      </w:tr>
      <w:tr>
        <w:tc>
          <w:tcPr>
            <w:tcW w:type="dxa" w:w="2880"/>
          </w:tcPr>
          <w:p>
            <w:r>
              <w:rPr>
                <w:rFonts w:ascii="Calibri" w:hAnsi="Calibri"/>
                <w:sz w:val="22"/>
              </w:rPr>
              <w:t>Li Auto (Q1 2026 call, May 28)</w:t>
            </w:r>
          </w:p>
        </w:tc>
        <w:tc>
          <w:tcPr>
            <w:tcW w:type="dxa" w:w="2880"/>
          </w:tcPr>
          <w:p>
            <w:r>
              <w:rPr>
                <w:rFonts w:ascii="Calibri" w:hAnsi="Calibri"/>
                <w:sz w:val="22"/>
              </w:rPr>
              <w:t>Q2 deliveries 95-100K; goal to match Tesla FSD v14 in H2 2026; humanoid robots 3+ years from mass commercialization</w:t>
            </w:r>
          </w:p>
        </w:tc>
        <w:tc>
          <w:tcPr>
            <w:tcW w:type="dxa" w:w="2880"/>
          </w:tcPr>
          <w:p>
            <w:r>
              <w:rPr>
                <w:rFonts w:ascii="Calibri" w:hAnsi="Calibri"/>
                <w:b/>
                <w:color w:val="30A46C"/>
                <w:sz w:val="22"/>
              </w:rPr>
              <w:t>Positive (validates Tesla lead)</w:t>
            </w:r>
          </w:p>
        </w:tc>
      </w:tr>
      <w:tr>
        <w:tc>
          <w:tcPr>
            <w:tcW w:type="dxa" w:w="2880"/>
          </w:tcPr>
          <w:p>
            <w:r>
              <w:rPr>
                <w:rFonts w:ascii="Calibri" w:hAnsi="Calibri"/>
                <w:sz w:val="22"/>
              </w:rPr>
              <w:t>XPeng (Q1 2026 call, May 28)</w:t>
            </w:r>
          </w:p>
        </w:tc>
        <w:tc>
          <w:tcPr>
            <w:tcW w:type="dxa" w:w="2880"/>
          </w:tcPr>
          <w:p>
            <w:r>
              <w:rPr>
                <w:rFonts w:ascii="Calibri" w:hAnsi="Calibri"/>
                <w:sz w:val="22"/>
              </w:rPr>
              <w:t>Q2 deliveries 100-106K; memory chip/battery cost headwinds; ADAS penetration &gt;50%; Robotaxi commercial opportunity after 2028</w:t>
            </w:r>
          </w:p>
        </w:tc>
        <w:tc>
          <w:tcPr>
            <w:tcW w:type="dxa" w:w="2880"/>
          </w:tcPr>
          <w:p>
            <w:r>
              <w:rPr>
                <w:rFonts w:ascii="Calibri" w:hAnsi="Calibri"/>
                <w:b/>
                <w:color w:val="002FA7"/>
                <w:sz w:val="22"/>
              </w:rPr>
              <w:t>Mixed</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since Q1 earnings — all transactions are either option exercises (code M), tax withholding (code F), or 10b5-1 planned sales. </w:t>
      </w:r>
      <w:r>
        <w:rPr>
          <w:rFonts w:ascii="Calibri" w:hAnsi="Calibri"/>
          <w:b/>
          <w:color w:val="525866"/>
          <w:sz w:val="22"/>
        </w:rPr>
        <w:t>The absence of discretionary insider buying or selling is neutral</w:t>
      </w:r>
      <w:r>
        <w:rPr>
          <w:rFonts w:ascii="Calibri" w:hAnsi="Calibri"/>
          <w:color w:val="525866"/>
          <w:sz w:val="22"/>
        </w:rPr>
        <w:t>; Elon Musk's June 16 transaction was an option exercise and tax withholding event, not a discretionary sale.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Musk, Elon</w:t>
            </w:r>
          </w:p>
        </w:tc>
        <w:tc>
          <w:tcPr>
            <w:tcW w:type="dxa" w:w="1440"/>
          </w:tcPr>
          <w:p>
            <w:r>
              <w:rPr>
                <w:rFonts w:ascii="Calibri" w:hAnsi="Calibri"/>
                <w:sz w:val="22"/>
              </w:rPr>
              <w:t>CEO, 10% Owner, Director</w:t>
            </w:r>
          </w:p>
        </w:tc>
        <w:tc>
          <w:tcPr>
            <w:tcW w:type="dxa" w:w="1440"/>
          </w:tcPr>
          <w:p>
            <w:r>
              <w:rPr>
                <w:rFonts w:ascii="Calibri" w:hAnsi="Calibri"/>
                <w:sz w:val="22"/>
              </w:rPr>
              <w:t>Option Exercise (Code M) + Tax Withholding (Code F)</w:t>
            </w:r>
          </w:p>
        </w:tc>
        <w:tc>
          <w:tcPr>
            <w:tcW w:type="dxa" w:w="1440"/>
          </w:tcPr>
          <w:p>
            <w:r>
              <w:rPr>
                <w:rFonts w:ascii="Calibri" w:hAnsi="Calibri"/>
                <w:sz w:val="22"/>
              </w:rPr>
              <w:t>Exercised 303,960,630 shares; withheld 17,531,857 shares for taxes</w:t>
            </w:r>
          </w:p>
        </w:tc>
        <w:tc>
          <w:tcPr>
            <w:tcW w:type="dxa" w:w="1440"/>
          </w:tcPr>
          <w:p>
            <w:r>
              <w:rPr>
                <w:rFonts w:ascii="Calibri" w:hAnsi="Calibri"/>
                <w:sz w:val="22"/>
              </w:rPr>
              <w:t>June 16, 2026</w:t>
            </w:r>
          </w:p>
        </w:tc>
        <w:tc>
          <w:tcPr>
            <w:tcW w:type="dxa" w:w="1440"/>
          </w:tcPr>
          <w:p>
            <w:r>
              <w:rPr>
                <w:rFonts w:ascii="Calibri" w:hAnsi="Calibri"/>
                <w:sz w:val="22"/>
              </w:rPr>
              <w:t>Non-discretionary. Option exercise with mandatory tax withholding. Not an open-market sale. Net shares acquired.</w:t>
            </w:r>
          </w:p>
        </w:tc>
      </w:tr>
      <w:tr>
        <w:tc>
          <w:tcPr>
            <w:tcW w:type="dxa" w:w="1440"/>
          </w:tcPr>
          <w:p>
            <w:r>
              <w:rPr>
                <w:rFonts w:ascii="Calibri" w:hAnsi="Calibri"/>
                <w:sz w:val="22"/>
              </w:rPr>
              <w:t>Taneja, Vaibhav</w:t>
            </w:r>
          </w:p>
        </w:tc>
        <w:tc>
          <w:tcPr>
            <w:tcW w:type="dxa" w:w="1440"/>
          </w:tcPr>
          <w:p>
            <w:r>
              <w:rPr>
                <w:rFonts w:ascii="Calibri" w:hAnsi="Calibri"/>
                <w:sz w:val="22"/>
              </w:rPr>
              <w:t>Chief Financial Officer</w:t>
            </w:r>
          </w:p>
        </w:tc>
        <w:tc>
          <w:tcPr>
            <w:tcW w:type="dxa" w:w="1440"/>
          </w:tcPr>
          <w:p>
            <w:r>
              <w:rPr>
                <w:rFonts w:ascii="Calibri" w:hAnsi="Calibri"/>
                <w:sz w:val="22"/>
              </w:rPr>
              <w:t>Option Exercise (Code M) + 10b5-1 Planned Sale (Code S)</w:t>
            </w:r>
          </w:p>
        </w:tc>
        <w:tc>
          <w:tcPr>
            <w:tcW w:type="dxa" w:w="1440"/>
          </w:tcPr>
          <w:p>
            <w:r>
              <w:rPr>
                <w:rFonts w:ascii="Calibri" w:hAnsi="Calibri"/>
                <w:sz w:val="22"/>
              </w:rPr>
              <w:t>Exercised 6,538 shares; sold 2,605.5 shares</w:t>
            </w:r>
          </w:p>
        </w:tc>
        <w:tc>
          <w:tcPr>
            <w:tcW w:type="dxa" w:w="1440"/>
          </w:tcPr>
          <w:p>
            <w:r>
              <w:rPr>
                <w:rFonts w:ascii="Calibri" w:hAnsi="Calibri"/>
                <w:sz w:val="22"/>
              </w:rPr>
              <w:t>June 5 &amp; 8, 2026</w:t>
            </w:r>
          </w:p>
        </w:tc>
        <w:tc>
          <w:tcPr>
            <w:tcW w:type="dxa" w:w="1440"/>
          </w:tcPr>
          <w:p>
            <w:r>
              <w:rPr>
                <w:rFonts w:ascii="Calibri" w:hAnsi="Calibri"/>
                <w:sz w:val="22"/>
              </w:rPr>
              <w:t>10b5-1 planned sale. Pre-scheduled, non-discretionary. Routine CFO compensation-related transaction.</w:t>
            </w:r>
          </w:p>
        </w:tc>
      </w:tr>
      <w:tr>
        <w:tc>
          <w:tcPr>
            <w:tcW w:type="dxa" w:w="1440"/>
          </w:tcPr>
          <w:p>
            <w:r>
              <w:rPr>
                <w:rFonts w:ascii="Calibri" w:hAnsi="Calibri"/>
                <w:sz w:val="22"/>
              </w:rPr>
              <w:t>Wilson-Thompson, Kathleen</w:t>
            </w:r>
          </w:p>
        </w:tc>
        <w:tc>
          <w:tcPr>
            <w:tcW w:type="dxa" w:w="1440"/>
          </w:tcPr>
          <w:p>
            <w:r>
              <w:rPr>
                <w:rFonts w:ascii="Calibri" w:hAnsi="Calibri"/>
                <w:sz w:val="22"/>
              </w:rPr>
              <w:t>Director</w:t>
            </w:r>
          </w:p>
        </w:tc>
        <w:tc>
          <w:tcPr>
            <w:tcW w:type="dxa" w:w="1440"/>
          </w:tcPr>
          <w:p>
            <w:r>
              <w:rPr>
                <w:rFonts w:ascii="Calibri" w:hAnsi="Calibri"/>
                <w:sz w:val="22"/>
              </w:rPr>
              <w:t>Option Exercise (Code M) + 10b5-1 Planned Sale (Code S)</w:t>
            </w:r>
          </w:p>
        </w:tc>
        <w:tc>
          <w:tcPr>
            <w:tcW w:type="dxa" w:w="1440"/>
          </w:tcPr>
          <w:p>
            <w:r>
              <w:rPr>
                <w:rFonts w:ascii="Calibri" w:hAnsi="Calibri"/>
                <w:sz w:val="22"/>
              </w:rPr>
              <w:t>Exercised 40,948 shares; sold 26,409 shares</w:t>
            </w:r>
          </w:p>
        </w:tc>
        <w:tc>
          <w:tcPr>
            <w:tcW w:type="dxa" w:w="1440"/>
          </w:tcPr>
          <w:p>
            <w:r>
              <w:rPr>
                <w:rFonts w:ascii="Calibri" w:hAnsi="Calibri"/>
                <w:sz w:val="22"/>
              </w:rPr>
              <w:t>April 30, 2026</w:t>
            </w:r>
          </w:p>
        </w:tc>
        <w:tc>
          <w:tcPr>
            <w:tcW w:type="dxa" w:w="1440"/>
          </w:tcPr>
          <w:p>
            <w:r>
              <w:rPr>
                <w:rFonts w:ascii="Calibri" w:hAnsi="Calibri"/>
                <w:sz w:val="22"/>
              </w:rPr>
              <w:t>10b5-1 planned sale. Pre-scheduled, non-discretionary. Routine director compensation-related transaction.</w:t>
            </w:r>
          </w:p>
        </w:tc>
      </w:tr>
      <w:tr>
        <w:tc>
          <w:tcPr>
            <w:tcW w:type="dxa" w:w="1440"/>
          </w:tcPr>
          <w:p>
            <w:r>
              <w:rPr>
                <w:rFonts w:ascii="Calibri" w:hAnsi="Calibri"/>
                <w:sz w:val="22"/>
              </w:rPr>
              <w:t>Musk, Elon</w:t>
            </w:r>
          </w:p>
        </w:tc>
        <w:tc>
          <w:tcPr>
            <w:tcW w:type="dxa" w:w="1440"/>
          </w:tcPr>
          <w:p>
            <w:r>
              <w:rPr>
                <w:rFonts w:ascii="Calibri" w:hAnsi="Calibri"/>
                <w:sz w:val="22"/>
              </w:rPr>
              <w:t>CEO, 10% Owner, Director</w:t>
            </w:r>
          </w:p>
        </w:tc>
        <w:tc>
          <w:tcPr>
            <w:tcW w:type="dxa" w:w="1440"/>
          </w:tcPr>
          <w:p>
            <w:r>
              <w:rPr>
                <w:rFonts w:ascii="Calibri" w:hAnsi="Calibri"/>
                <w:sz w:val="22"/>
              </w:rPr>
              <w:t>Disposition (Code D)</w:t>
            </w:r>
          </w:p>
        </w:tc>
        <w:tc>
          <w:tcPr>
            <w:tcW w:type="dxa" w:w="1440"/>
          </w:tcPr>
          <w:p>
            <w:r>
              <w:rPr>
                <w:rFonts w:ascii="Calibri" w:hAnsi="Calibri"/>
                <w:sz w:val="22"/>
              </w:rPr>
              <w:t>96,000,000 shares</w:t>
            </w:r>
          </w:p>
        </w:tc>
        <w:tc>
          <w:tcPr>
            <w:tcW w:type="dxa" w:w="1440"/>
          </w:tcPr>
          <w:p>
            <w:r>
              <w:rPr>
                <w:rFonts w:ascii="Calibri" w:hAnsi="Calibri"/>
                <w:sz w:val="22"/>
              </w:rPr>
              <w:t>April 21, 2026</w:t>
            </w:r>
          </w:p>
        </w:tc>
        <w:tc>
          <w:tcPr>
            <w:tcW w:type="dxa" w:w="1440"/>
          </w:tcPr>
          <w:p>
            <w:r>
              <w:rPr>
                <w:rFonts w:ascii="Calibri" w:hAnsi="Calibri"/>
                <w:sz w:val="22"/>
              </w:rPr>
              <w:t>Non-open-market disposition (Code D). Not a market sale. Likely a transfer or pledge-related transaction. Filed April 23, 2026.</w:t>
            </w:r>
          </w:p>
        </w:tc>
      </w:tr>
    </w:tbl>
    <w:p>
      <w:r>
        <w:rPr>
          <w:rFonts w:ascii="Calibri" w:hAnsi="Calibri"/>
          <w:b/>
          <w:color w:val="525866"/>
          <w:sz w:val="22"/>
        </w:rPr>
        <w:t xml:space="preserve">Assessment: </w:t>
      </w:r>
      <w:r>
        <w:rPr>
          <w:rFonts w:ascii="Calibri" w:hAnsi="Calibri"/>
          <w:color w:val="525866"/>
          <w:sz w:val="22"/>
        </w:rPr>
        <w:t>There are no open-market buys or discretionary sells in the period since Q1 earnings (April 22 – July 21, 2026). All transactions are either option exercises (Code M), mandatory tax withholding (Code F), 10b5-1 pre-scheduled sales (Code S), or non-market dispositions (Code D). This is a neutral signal — no insider is making a directional bet on the stock ahead of earnings. The absence of any open-market buying by insiders at current price levels (~$379) is worth noting given the stock's underperformance since Q1 earnings.</w:t>
      </w:r>
    </w:p>
    <w:p>
      <w:r>
        <w:rPr>
          <w:rFonts w:ascii="Calibri" w:hAnsi="Calibri"/>
          <w:i/>
          <w:color w:val="525866"/>
          <w:sz w:val="22"/>
        </w:rPr>
        <w:t>Source: SEC Form 4 filings via Insider Transaction Data.</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