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Tesla, Inc. (TSLA)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Tesla, Inc.</w:t>
            </w:r>
          </w:p>
        </w:tc>
      </w:tr>
      <w:tr>
        <w:tc>
          <w:tcPr>
            <w:tcW w:type="dxa" w:w="4320"/>
          </w:tcPr>
          <w:p>
            <w:r>
              <w:rPr>
                <w:rFonts w:ascii="Calibri" w:hAnsi="Calibri"/>
                <w:b/>
                <w:sz w:val="22"/>
              </w:rPr>
              <w:t>Ticker</w:t>
            </w:r>
          </w:p>
        </w:tc>
        <w:tc>
          <w:tcPr>
            <w:tcW w:type="dxa" w:w="4320"/>
          </w:tcPr>
          <w:p>
            <w:r>
              <w:rPr>
                <w:rFonts w:ascii="Calibri" w:hAnsi="Calibri"/>
                <w:sz w:val="22"/>
              </w:rPr>
              <w:t>TSLA (NASDAQ)</w:t>
            </w:r>
          </w:p>
        </w:tc>
      </w:tr>
      <w:tr>
        <w:tc>
          <w:tcPr>
            <w:tcW w:type="dxa" w:w="4320"/>
          </w:tcPr>
          <w:p>
            <w:r>
              <w:rPr>
                <w:rFonts w:ascii="Calibri" w:hAnsi="Calibri"/>
                <w:b/>
                <w:sz w:val="22"/>
              </w:rPr>
              <w:t>Reporting Period</w:t>
            </w:r>
          </w:p>
        </w:tc>
        <w:tc>
          <w:tcPr>
            <w:tcW w:type="dxa" w:w="4320"/>
          </w:tcPr>
          <w:p>
            <w:r>
              <w:rPr>
                <w:rFonts w:ascii="Calibri" w:hAnsi="Calibri"/>
                <w:sz w:val="22"/>
              </w:rPr>
              <w:t>Q2 2026 (quarter ended June 30, 2026)</w:t>
            </w:r>
          </w:p>
        </w:tc>
      </w:tr>
      <w:tr>
        <w:tc>
          <w:tcPr>
            <w:tcW w:type="dxa" w:w="4320"/>
          </w:tcPr>
          <w:p>
            <w:r>
              <w:rPr>
                <w:rFonts w:ascii="Calibri" w:hAnsi="Calibri"/>
                <w:b/>
                <w:sz w:val="22"/>
              </w:rPr>
              <w:t>Earnings Date</w:t>
            </w:r>
          </w:p>
        </w:tc>
        <w:tc>
          <w:tcPr>
            <w:tcW w:type="dxa" w:w="4320"/>
          </w:tcPr>
          <w:p>
            <w:r>
              <w:rPr>
                <w:rFonts w:ascii="Calibri" w:hAnsi="Calibri"/>
                <w:sz w:val="22"/>
              </w:rPr>
              <w:t>July 22, 2026 — after U.S. market close (call at 5:30 PM ET)</w:t>
            </w:r>
          </w:p>
        </w:tc>
      </w:tr>
      <w:tr>
        <w:tc>
          <w:tcPr>
            <w:tcW w:type="dxa" w:w="4320"/>
          </w:tcPr>
          <w:p>
            <w:r>
              <w:rPr>
                <w:rFonts w:ascii="Calibri" w:hAnsi="Calibri"/>
                <w:b/>
                <w:sz w:val="22"/>
              </w:rPr>
              <w:t>Prepared</w:t>
            </w:r>
          </w:p>
        </w:tc>
        <w:tc>
          <w:tcPr>
            <w:tcW w:type="dxa" w:w="4320"/>
          </w:tcPr>
          <w:p>
            <w:r>
              <w:rPr>
                <w:rFonts w:ascii="Calibri" w:hAnsi="Calibri"/>
                <w:sz w:val="22"/>
              </w:rPr>
              <w:t>July 21, 2026</w:t>
            </w:r>
          </w:p>
        </w:tc>
      </w:tr>
      <w:tr>
        <w:tc>
          <w:tcPr>
            <w:tcW w:type="dxa" w:w="4320"/>
          </w:tcPr>
          <w:p>
            <w:r>
              <w:rPr>
                <w:rFonts w:ascii="Calibri" w:hAnsi="Calibri"/>
                <w:b/>
                <w:sz w:val="22"/>
              </w:rPr>
              <w:t>Primary Valuation KPI</w:t>
            </w:r>
          </w:p>
        </w:tc>
        <w:tc>
          <w:tcPr>
            <w:tcW w:type="dxa" w:w="4320"/>
          </w:tcPr>
          <w:p>
            <w:r>
              <w:rPr>
                <w:rFonts w:ascii="Calibri" w:hAnsi="Calibri"/>
                <w:sz w:val="22"/>
              </w:rPr>
              <w:t>Diluted EPS – Operating (Non-GAAP)</w:t>
            </w:r>
          </w:p>
        </w:tc>
      </w:tr>
      <w:tr>
        <w:tc>
          <w:tcPr>
            <w:tcW w:type="dxa" w:w="4320"/>
          </w:tcPr>
          <w:p>
            <w:r>
              <w:rPr>
                <w:rFonts w:ascii="Calibri" w:hAnsi="Calibri"/>
                <w:b/>
                <w:sz w:val="22"/>
              </w:rPr>
              <w:t>Top 2 KPIs</w:t>
            </w:r>
          </w:p>
        </w:tc>
        <w:tc>
          <w:tcPr>
            <w:tcW w:type="dxa" w:w="4320"/>
          </w:tcPr>
          <w:p>
            <w:r>
              <w:rPr>
                <w:rFonts w:ascii="Calibri" w:hAnsi="Calibri"/>
                <w:sz w:val="22"/>
              </w:rPr>
              <w:t>Automotive Gross Margin (ex-credits); Total Vehicle Deliveries</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cautiously constructive — deliveries already beat consensus at 480K units, but the real swing factor is whether automotive gross margin (ex-credits) can hold near Q1's elevated 19.2% level after stripping out ~$230M in one-time warranty true-downs, or whether the normalized rate reverts toward the mid-to-high teens.</w:t>
      </w:r>
    </w:p>
    <w:p>
      <w:r>
        <w:rPr>
          <w:rFonts w:ascii="Calibri" w:hAnsi="Calibri"/>
          <w:color w:val="525866"/>
          <w:sz w:val="22"/>
        </w:rPr>
        <w:t xml:space="preserve">Heading into the print, the bar on deliveries is already cleared — Tesla reported 480,126 vehicles delivered in Q2 2026 on July 2, a clean beat vs. the ~447K consensus estimate, and energy storage deployments of 13.5 GWh also came in above the ~14.1 GWh consensus. The debate now shifts entirely to the income statement: </w:t>
      </w:r>
      <w:r>
        <w:rPr>
          <w:rFonts w:ascii="Calibri" w:hAnsi="Calibri"/>
          <w:b/>
          <w:color w:val="525866"/>
          <w:sz w:val="22"/>
        </w:rPr>
        <w:t>automotive gross margin ex-credits</w:t>
      </w:r>
      <w:r>
        <w:rPr>
          <w:rFonts w:ascii="Calibri" w:hAnsi="Calibri"/>
          <w:color w:val="525866"/>
          <w:sz w:val="22"/>
        </w:rPr>
        <w:t xml:space="preserve"> is the most contested line, with consensus at ~18.1% for Q2 vs. the 19.2% reported in Q1 (which included ~$230M in one-time warranty true-downs and tariff relief). Management was explicit on the Q1 call that these were non-recurring, so the Street is effectively asking whether the underlying margin is 17–18% or closer to 19%. On the EPS line, consensus is $0.55 operating, a sharp sequential step-up from $0.41 in Q1, implying the volume leverage more than offsets the one-time margin roll-off. The stock has underperformed the S&amp;P 500 by roughly 7 percentage points since the Q1 print, suggesting the market is not pricing in a clean beat — which creates asymmetric upside if margins surprise. The key wildcard is any incremental disclosure on </w:t>
      </w:r>
      <w:r>
        <w:rPr>
          <w:rFonts w:ascii="Calibri" w:hAnsi="Calibri"/>
          <w:b/>
          <w:color w:val="525866"/>
          <w:sz w:val="22"/>
        </w:rPr>
        <w:t>Robotaxi fleet size, revenue, or the timeline to unsupervised FSD on customer cars</w:t>
      </w:r>
      <w:r>
        <w:rPr>
          <w:rFonts w:ascii="Calibri" w:hAnsi="Calibri"/>
          <w:color w:val="525866"/>
          <w:sz w:val="22"/>
        </w:rPr>
        <w:t>, which management guided for Q4 2026 — a credible update here could re-rate the stock regardless of the automotive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Deliveries are already a known beat (480K vs. ~447K consensus); the margin line is the live debate. Automotive gross margin ex-credits is the bigger swing factor — consensus at ~18.1% is achievable but the Q1 one-time tailwinds do not repeat, making a clean beat harder than the headline delivery number implies.</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Quarter)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(FY 2026)</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$22.4B</w:t>
            </w:r>
          </w:p>
        </w:tc>
        <w:tc>
          <w:tcPr>
            <w:tcW w:type="dxa" w:w="1234"/>
          </w:tcPr>
          <w:p>
            <w:r>
              <w:rPr>
                <w:rFonts w:ascii="Calibri" w:hAnsi="Calibri"/>
                <w:sz w:val="22"/>
              </w:rPr>
              <w:t>$22.5B</w:t>
            </w:r>
          </w:p>
        </w:tc>
        <w:tc>
          <w:tcPr>
            <w:tcW w:type="dxa" w:w="1234"/>
          </w:tcPr>
          <w:p>
            <w:r>
              <w:rPr>
                <w:rFonts w:ascii="Calibri" w:hAnsi="Calibri"/>
                <w:sz w:val="22"/>
              </w:rPr>
              <w:t>$26.7B</w:t>
            </w:r>
          </w:p>
        </w:tc>
        <w:tc>
          <w:tcPr>
            <w:tcW w:type="dxa" w:w="1234"/>
          </w:tcPr>
          <w:p>
            <w:r>
              <w:rPr>
                <w:rFonts w:ascii="Calibri" w:hAnsi="Calibri"/>
                <w:sz w:val="22"/>
              </w:rPr>
              <w:t>+18.6% YoY</w:t>
            </w:r>
          </w:p>
        </w:tc>
        <w:tc>
          <w:tcPr>
            <w:tcW w:type="dxa" w:w="1234"/>
          </w:tcPr>
          <w:p>
            <w:r>
              <w:rPr>
                <w:rFonts w:ascii="Calibri" w:hAnsi="Calibri"/>
                <w:sz w:val="22"/>
              </w:rPr>
              <w:t>No explicit Q2 guidance; FY2026 consensus ~$104.9B</w:t>
            </w:r>
          </w:p>
        </w:tc>
        <w:tc>
          <w:tcPr>
            <w:tcW w:type="dxa" w:w="1234"/>
          </w:tcPr>
          <w:p>
            <w:r>
              <w:rPr>
                <w:rFonts w:ascii="Calibri" w:hAnsi="Calibri"/>
                <w:sz w:val="22"/>
              </w:rPr>
              <w:t>N/A (no Q2 guidance issued)</w:t>
            </w:r>
          </w:p>
        </w:tc>
      </w:tr>
      <w:tr>
        <w:tc>
          <w:tcPr>
            <w:tcW w:type="dxa" w:w="1234"/>
          </w:tcPr>
          <w:p>
            <w:r>
              <w:rPr>
                <w:rFonts w:ascii="Calibri" w:hAnsi="Calibri"/>
                <w:sz w:val="22"/>
              </w:rPr>
              <w:t>Diluted EPS – Operating (Non-GAAP)</w:t>
            </w:r>
          </w:p>
        </w:tc>
        <w:tc>
          <w:tcPr>
            <w:tcW w:type="dxa" w:w="1234"/>
          </w:tcPr>
          <w:p>
            <w:r>
              <w:rPr>
                <w:rFonts w:ascii="Calibri" w:hAnsi="Calibri"/>
                <w:sz w:val="22"/>
              </w:rPr>
              <w:t>$0.41</w:t>
            </w:r>
          </w:p>
        </w:tc>
        <w:tc>
          <w:tcPr>
            <w:tcW w:type="dxa" w:w="1234"/>
          </w:tcPr>
          <w:p>
            <w:r>
              <w:rPr>
                <w:rFonts w:ascii="Calibri" w:hAnsi="Calibri"/>
                <w:sz w:val="22"/>
              </w:rPr>
              <w:t>$0.40</w:t>
            </w:r>
          </w:p>
        </w:tc>
        <w:tc>
          <w:tcPr>
            <w:tcW w:type="dxa" w:w="1234"/>
          </w:tcPr>
          <w:p>
            <w:r>
              <w:rPr>
                <w:rFonts w:ascii="Calibri" w:hAnsi="Calibri"/>
                <w:sz w:val="22"/>
              </w:rPr>
              <w:t>$0.55</w:t>
            </w:r>
          </w:p>
        </w:tc>
        <w:tc>
          <w:tcPr>
            <w:tcW w:type="dxa" w:w="1234"/>
          </w:tcPr>
          <w:p>
            <w:r>
              <w:rPr>
                <w:rFonts w:ascii="Calibri" w:hAnsi="Calibri"/>
                <w:sz w:val="22"/>
              </w:rPr>
              <w:t>+37.5% YoY</w:t>
            </w:r>
          </w:p>
        </w:tc>
        <w:tc>
          <w:tcPr>
            <w:tcW w:type="dxa" w:w="1234"/>
          </w:tcPr>
          <w:p>
            <w:r>
              <w:rPr>
                <w:rFonts w:ascii="Calibri" w:hAnsi="Calibri"/>
                <w:sz w:val="22"/>
              </w:rPr>
              <w:t>No explicit Q2 guidance; FY2026 consensus ~$2.16</w:t>
            </w:r>
          </w:p>
        </w:tc>
        <w:tc>
          <w:tcPr>
            <w:tcW w:type="dxa" w:w="1234"/>
          </w:tcPr>
          <w:p>
            <w:r>
              <w:rPr>
                <w:rFonts w:ascii="Calibri" w:hAnsi="Calibri"/>
                <w:sz w:val="22"/>
              </w:rPr>
              <w:t>N/A (no Q2 guidance issued)</w:t>
            </w:r>
          </w:p>
        </w:tc>
      </w:tr>
      <w:tr>
        <w:tc>
          <w:tcPr>
            <w:tcW w:type="dxa" w:w="1234"/>
          </w:tcPr>
          <w:p>
            <w:r>
              <w:rPr>
                <w:rFonts w:ascii="Calibri" w:hAnsi="Calibri"/>
                <w:sz w:val="22"/>
              </w:rPr>
              <w:t>Total Vehicle Deliveries (K units)</w:t>
            </w:r>
          </w:p>
        </w:tc>
        <w:tc>
          <w:tcPr>
            <w:tcW w:type="dxa" w:w="1234"/>
          </w:tcPr>
          <w:p>
            <w:r>
              <w:rPr>
                <w:rFonts w:ascii="Calibri" w:hAnsi="Calibri"/>
                <w:sz w:val="22"/>
              </w:rPr>
              <w:t>358K</w:t>
            </w:r>
          </w:p>
        </w:tc>
        <w:tc>
          <w:tcPr>
            <w:tcW w:type="dxa" w:w="1234"/>
          </w:tcPr>
          <w:p>
            <w:r>
              <w:rPr>
                <w:rFonts w:ascii="Calibri" w:hAnsi="Calibri"/>
                <w:sz w:val="22"/>
              </w:rPr>
              <w:t>384K</w:t>
            </w:r>
          </w:p>
        </w:tc>
        <w:tc>
          <w:tcPr>
            <w:tcW w:type="dxa" w:w="1234"/>
          </w:tcPr>
          <w:p>
            <w:r>
              <w:rPr>
                <w:rFonts w:ascii="Calibri" w:hAnsi="Calibri"/>
                <w:sz w:val="22"/>
              </w:rPr>
              <w:t>447K (consensus pre-July 2)</w:t>
            </w:r>
          </w:p>
        </w:tc>
        <w:tc>
          <w:tcPr>
            <w:tcW w:type="dxa" w:w="1234"/>
          </w:tcPr>
          <w:p>
            <w:r>
              <w:rPr>
                <w:rFonts w:ascii="Calibri" w:hAnsi="Calibri"/>
                <w:sz w:val="22"/>
              </w:rPr>
              <w:t>+25.0% YoY (vs. 384K)</w:t>
            </w:r>
          </w:p>
        </w:tc>
        <w:tc>
          <w:tcPr>
            <w:tcW w:type="dxa" w:w="1234"/>
          </w:tcPr>
          <w:p>
            <w:r>
              <w:rPr>
                <w:rFonts w:ascii="Calibri" w:hAnsi="Calibri"/>
                <w:sz w:val="22"/>
              </w:rPr>
              <w:t>FY2026 consensus ~1.70M units; mgmt: battery pack capacity is primary limiter</w:t>
            </w:r>
          </w:p>
        </w:tc>
        <w:tc>
          <w:tcPr>
            <w:tcW w:type="dxa" w:w="1234"/>
          </w:tcPr>
          <w:p>
            <w:r>
              <w:rPr>
                <w:rFonts w:ascii="Calibri" w:hAnsi="Calibri"/>
                <w:sz w:val="22"/>
              </w:rPr>
              <w:t>Reported 480K — beat consensus by ~7%</w:t>
            </w:r>
          </w:p>
        </w:tc>
      </w:tr>
      <w:tr>
        <w:tc>
          <w:tcPr>
            <w:tcW w:type="dxa" w:w="1234"/>
          </w:tcPr>
          <w:p>
            <w:r>
              <w:rPr>
                <w:rFonts w:ascii="Calibri" w:hAnsi="Calibri"/>
                <w:sz w:val="22"/>
              </w:rPr>
              <w:t>Automotive Gross Margin ex-Credits (%)</w:t>
            </w:r>
          </w:p>
        </w:tc>
        <w:tc>
          <w:tcPr>
            <w:tcW w:type="dxa" w:w="1234"/>
          </w:tcPr>
          <w:p>
            <w:r>
              <w:rPr>
                <w:rFonts w:ascii="Calibri" w:hAnsi="Calibri"/>
                <w:sz w:val="22"/>
              </w:rPr>
              <w:t>19.2% (incl. ~$230M one-time warranty true-down)</w:t>
            </w:r>
          </w:p>
        </w:tc>
        <w:tc>
          <w:tcPr>
            <w:tcW w:type="dxa" w:w="1234"/>
          </w:tcPr>
          <w:p>
            <w:r>
              <w:rPr>
                <w:rFonts w:ascii="Calibri" w:hAnsi="Calibri"/>
                <w:sz w:val="22"/>
              </w:rPr>
              <w:t>15.0%</w:t>
            </w:r>
          </w:p>
        </w:tc>
        <w:tc>
          <w:tcPr>
            <w:tcW w:type="dxa" w:w="1234"/>
          </w:tcPr>
          <w:p>
            <w:r>
              <w:rPr>
                <w:rFonts w:ascii="Calibri" w:hAnsi="Calibri"/>
                <w:sz w:val="22"/>
              </w:rPr>
              <w:t>~18.1%</w:t>
            </w:r>
          </w:p>
        </w:tc>
        <w:tc>
          <w:tcPr>
            <w:tcW w:type="dxa" w:w="1234"/>
          </w:tcPr>
          <w:p>
            <w:r>
              <w:rPr>
                <w:rFonts w:ascii="Calibri" w:hAnsi="Calibri"/>
                <w:sz w:val="22"/>
              </w:rPr>
              <w:t>+310 bps YoY</w:t>
            </w:r>
          </w:p>
        </w:tc>
        <w:tc>
          <w:tcPr>
            <w:tcW w:type="dxa" w:w="1234"/>
          </w:tcPr>
          <w:p>
            <w:r>
              <w:rPr>
                <w:rFonts w:ascii="Calibri" w:hAnsi="Calibri"/>
                <w:sz w:val="22"/>
              </w:rPr>
              <w:t>FY2026 consensus ~18.0%; mgmt: tariffs and interest rate subvention are headwinds</w:t>
            </w:r>
          </w:p>
        </w:tc>
        <w:tc>
          <w:tcPr>
            <w:tcW w:type="dxa" w:w="1234"/>
          </w:tcPr>
          <w:p>
            <w:r>
              <w:rPr>
                <w:rFonts w:ascii="Calibri" w:hAnsi="Calibri"/>
                <w:sz w:val="22"/>
              </w:rPr>
              <w:t>Consensus ~18.1% vs. no explicit guidance; normalized Q1 ~17–18%</w:t>
            </w:r>
          </w:p>
        </w:tc>
      </w:tr>
      <w:tr>
        <w:tc>
          <w:tcPr>
            <w:tcW w:type="dxa" w:w="1234"/>
          </w:tcPr>
          <w:p>
            <w:r>
              <w:rPr>
                <w:rFonts w:ascii="Calibri" w:hAnsi="Calibri"/>
                <w:sz w:val="22"/>
              </w:rPr>
              <w:t>Energy Storage Deployed (GWh)</w:t>
            </w:r>
          </w:p>
        </w:tc>
        <w:tc>
          <w:tcPr>
            <w:tcW w:type="dxa" w:w="1234"/>
          </w:tcPr>
          <w:p>
            <w:r>
              <w:rPr>
                <w:rFonts w:ascii="Calibri" w:hAnsi="Calibri"/>
                <w:sz w:val="22"/>
              </w:rPr>
              <w:t>8.8 GWh</w:t>
            </w:r>
          </w:p>
        </w:tc>
        <w:tc>
          <w:tcPr>
            <w:tcW w:type="dxa" w:w="1234"/>
          </w:tcPr>
          <w:p>
            <w:r>
              <w:rPr>
                <w:rFonts w:ascii="Calibri" w:hAnsi="Calibri"/>
                <w:sz w:val="22"/>
              </w:rPr>
              <w:t>9.6 GWh</w:t>
            </w:r>
          </w:p>
        </w:tc>
        <w:tc>
          <w:tcPr>
            <w:tcW w:type="dxa" w:w="1234"/>
          </w:tcPr>
          <w:p>
            <w:r>
              <w:rPr>
                <w:rFonts w:ascii="Calibri" w:hAnsi="Calibri"/>
                <w:sz w:val="22"/>
              </w:rPr>
              <w:t>~14.1 GWh</w:t>
            </w:r>
          </w:p>
        </w:tc>
        <w:tc>
          <w:tcPr>
            <w:tcW w:type="dxa" w:w="1234"/>
          </w:tcPr>
          <w:p>
            <w:r>
              <w:rPr>
                <w:rFonts w:ascii="Calibri" w:hAnsi="Calibri"/>
                <w:sz w:val="22"/>
              </w:rPr>
              <w:t>+46.9% YoY</w:t>
            </w:r>
          </w:p>
        </w:tc>
        <w:tc>
          <w:tcPr>
            <w:tcW w:type="dxa" w:w="1234"/>
          </w:tcPr>
          <w:p>
            <w:r>
              <w:rPr>
                <w:rFonts w:ascii="Calibri" w:hAnsi="Calibri"/>
                <w:sz w:val="22"/>
              </w:rPr>
              <w:t>FY2026 deployments expected to exceed FY2025 (~46.2 GWh); Megapack 3 factory near Houston launching later in 2026</w:t>
            </w:r>
          </w:p>
        </w:tc>
        <w:tc>
          <w:tcPr>
            <w:tcW w:type="dxa" w:w="1234"/>
          </w:tcPr>
          <w:p>
            <w:r>
              <w:rPr>
                <w:rFonts w:ascii="Calibri" w:hAnsi="Calibri"/>
                <w:sz w:val="22"/>
              </w:rPr>
              <w:t>Reported 13.5 GWh — slightly below ~14.1 GWh consensus</w:t>
            </w:r>
          </w:p>
        </w:tc>
      </w:tr>
      <w:tr>
        <w:tc>
          <w:tcPr>
            <w:tcW w:type="dxa" w:w="1234"/>
          </w:tcPr>
          <w:p>
            <w:r>
              <w:rPr>
                <w:rFonts w:ascii="Calibri" w:hAnsi="Calibri"/>
                <w:sz w:val="22"/>
              </w:rPr>
              <w:t>Energy Gross Margin (%)</w:t>
            </w:r>
          </w:p>
        </w:tc>
        <w:tc>
          <w:tcPr>
            <w:tcW w:type="dxa" w:w="1234"/>
          </w:tcPr>
          <w:p>
            <w:r>
              <w:rPr>
                <w:rFonts w:ascii="Calibri" w:hAnsi="Calibri"/>
                <w:sz w:val="22"/>
              </w:rPr>
              <w:t>39.5% (incl. ~$250M one-time tariff recognition)</w:t>
            </w:r>
          </w:p>
        </w:tc>
        <w:tc>
          <w:tcPr>
            <w:tcW w:type="dxa" w:w="1234"/>
          </w:tcPr>
          <w:p>
            <w:r>
              <w:rPr>
                <w:rFonts w:ascii="Calibri" w:hAnsi="Calibri"/>
                <w:sz w:val="22"/>
              </w:rPr>
              <w:t>N/A — not separately disclosed in Q2 2025</w:t>
            </w:r>
          </w:p>
        </w:tc>
        <w:tc>
          <w:tcPr>
            <w:tcW w:type="dxa" w:w="1234"/>
          </w:tcPr>
          <w:p>
            <w:r>
              <w:rPr>
                <w:rFonts w:ascii="Calibri" w:hAnsi="Calibri"/>
                <w:sz w:val="22"/>
              </w:rPr>
              <w:t>N/A — not in VA consensus</w:t>
            </w:r>
          </w:p>
        </w:tc>
        <w:tc>
          <w:tcPr>
            <w:tcW w:type="dxa" w:w="1234"/>
          </w:tcPr>
          <w:p>
            <w:r>
              <w:rPr>
                <w:rFonts w:ascii="Calibri" w:hAnsi="Calibri"/>
                <w:sz w:val="22"/>
              </w:rPr>
              <w:t>N/A</w:t>
            </w:r>
          </w:p>
        </w:tc>
        <w:tc>
          <w:tcPr>
            <w:tcW w:type="dxa" w:w="1234"/>
          </w:tcPr>
          <w:p>
            <w:r>
              <w:rPr>
                <w:rFonts w:ascii="Calibri" w:hAnsi="Calibri"/>
                <w:sz w:val="22"/>
              </w:rPr>
              <w:t>Mgmt: expect compression from competition and tariffs on a normalized basis</w:t>
            </w:r>
          </w:p>
        </w:tc>
        <w:tc>
          <w:tcPr>
            <w:tcW w:type="dxa" w:w="1234"/>
          </w:tcPr>
          <w:p>
            <w:r>
              <w:rPr>
                <w:rFonts w:ascii="Calibri" w:hAnsi="Calibri"/>
                <w:sz w:val="22"/>
              </w:rPr>
              <w:t>N/A</w:t>
            </w:r>
          </w:p>
        </w:tc>
      </w:tr>
      <w:tr>
        <w:tc>
          <w:tcPr>
            <w:tcW w:type="dxa" w:w="1234"/>
          </w:tcPr>
          <w:p>
            <w:r>
              <w:rPr>
                <w:rFonts w:ascii="Calibri" w:hAnsi="Calibri"/>
                <w:sz w:val="22"/>
              </w:rPr>
              <w:t>Active FSD Subscriptions (M)</w:t>
            </w:r>
          </w:p>
        </w:tc>
        <w:tc>
          <w:tcPr>
            <w:tcW w:type="dxa" w:w="1234"/>
          </w:tcPr>
          <w:p>
            <w:r>
              <w:rPr>
                <w:rFonts w:ascii="Calibri" w:hAnsi="Calibri"/>
                <w:sz w:val="22"/>
              </w:rPr>
              <w:t>~1.3M (Q1 2026)</w:t>
            </w:r>
          </w:p>
        </w:tc>
        <w:tc>
          <w:tcPr>
            <w:tcW w:type="dxa" w:w="1234"/>
          </w:tcPr>
          <w:p>
            <w:r>
              <w:rPr>
                <w:rFonts w:ascii="Calibri" w:hAnsi="Calibri"/>
                <w:sz w:val="22"/>
              </w:rPr>
              <w:t>N/A — not separately disclosed</w:t>
            </w:r>
          </w:p>
        </w:tc>
        <w:tc>
          <w:tcPr>
            <w:tcW w:type="dxa" w:w="1234"/>
          </w:tcPr>
          <w:p>
            <w:r>
              <w:rPr>
                <w:rFonts w:ascii="Calibri" w:hAnsi="Calibri"/>
                <w:sz w:val="22"/>
              </w:rPr>
              <w:t>N/A — not in VA consensus</w:t>
            </w:r>
          </w:p>
        </w:tc>
        <w:tc>
          <w:tcPr>
            <w:tcW w:type="dxa" w:w="1234"/>
          </w:tcPr>
          <w:p>
            <w:r>
              <w:rPr>
                <w:rFonts w:ascii="Calibri" w:hAnsi="Calibri"/>
                <w:sz w:val="22"/>
              </w:rPr>
              <w:t>N/A</w:t>
            </w:r>
          </w:p>
        </w:tc>
        <w:tc>
          <w:tcPr>
            <w:tcW w:type="dxa" w:w="1234"/>
          </w:tcPr>
          <w:p>
            <w:r>
              <w:rPr>
                <w:rFonts w:ascii="Calibri" w:hAnsi="Calibri"/>
                <w:sz w:val="22"/>
              </w:rPr>
              <w:t>Mgmt: transitioning to subscription-only model; unsupervised FSD on customer cars targeted Q4 2026</w:t>
            </w:r>
          </w:p>
        </w:tc>
        <w:tc>
          <w:tcPr>
            <w:tcW w:type="dxa" w:w="1234"/>
          </w:tcPr>
          <w:p>
            <w:r>
              <w:rPr>
                <w:rFonts w:ascii="Calibri" w:hAnsi="Calibri"/>
                <w:sz w:val="22"/>
              </w:rPr>
              <w:t>N/A</w:t>
            </w:r>
          </w:p>
        </w:tc>
      </w:tr>
    </w:tbl>
    <w:p>
      <w:r>
        <w:rPr>
          <w:rFonts w:ascii="Calibri" w:hAnsi="Calibri"/>
          <w:i/>
          <w:color w:val="525866"/>
          <w:sz w:val="22"/>
        </w:rPr>
        <w:t xml:space="preserve">Sources: </w:t>
      </w:r>
      <w:r>
        <w:rPr>
          <w:rFonts w:ascii="Calibri" w:hAnsi="Calibri"/>
          <w:i/>
          <w:color w:val="525866"/>
          <w:sz w:val="22"/>
        </w:rPr>
        <w:t>Visible Alpha Consensus and Actuals Data (Total Revenue, Diluted EPS – Operating, Total Units, Storage Deployed, Automotive Gross Margin ex-Credits); Tesla Q1 2026 Earnings Call Transcript (April 22, 2026); Tesla Q2 2026 Production &amp; Deliveries Press Release (July 2,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Automotive Gross Margin ex-Credits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14.6%</w:t>
            </w:r>
          </w:p>
        </w:tc>
        <w:tc>
          <w:tcPr>
            <w:tcW w:type="dxa" w:w="1728"/>
          </w:tcPr>
          <w:p>
            <w:r>
              <w:rPr>
                <w:rFonts w:ascii="Calibri" w:hAnsi="Calibri"/>
                <w:sz w:val="22"/>
              </w:rPr>
              <w:t>16.3%</w:t>
            </w:r>
          </w:p>
        </w:tc>
        <w:tc>
          <w:tcPr>
            <w:tcW w:type="dxa" w:w="1728"/>
          </w:tcPr>
          <w:p>
            <w:r>
              <w:rPr>
                <w:rFonts w:ascii="Calibri" w:hAnsi="Calibri"/>
                <w:b/>
                <w:color w:val="E5484D"/>
                <w:sz w:val="22"/>
              </w:rPr>
              <w:t>−170 bps</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17.1%</w:t>
            </w:r>
          </w:p>
        </w:tc>
        <w:tc>
          <w:tcPr>
            <w:tcW w:type="dxa" w:w="1728"/>
          </w:tcPr>
          <w:p>
            <w:r>
              <w:rPr>
                <w:rFonts w:ascii="Calibri" w:hAnsi="Calibri"/>
                <w:sz w:val="22"/>
              </w:rPr>
              <w:t>14.9%</w:t>
            </w:r>
          </w:p>
        </w:tc>
        <w:tc>
          <w:tcPr>
            <w:tcW w:type="dxa" w:w="1728"/>
          </w:tcPr>
          <w:p>
            <w:r>
              <w:rPr>
                <w:rFonts w:ascii="Calibri" w:hAnsi="Calibri"/>
                <w:b/>
                <w:color w:val="30A46C"/>
                <w:sz w:val="22"/>
              </w:rPr>
              <w:t>+220 bps</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13.6%</w:t>
            </w:r>
          </w:p>
        </w:tc>
        <w:tc>
          <w:tcPr>
            <w:tcW w:type="dxa" w:w="1728"/>
          </w:tcPr>
          <w:p>
            <w:r>
              <w:rPr>
                <w:rFonts w:ascii="Calibri" w:hAnsi="Calibri"/>
                <w:sz w:val="22"/>
              </w:rPr>
              <w:t>16.2%</w:t>
            </w:r>
          </w:p>
        </w:tc>
        <w:tc>
          <w:tcPr>
            <w:tcW w:type="dxa" w:w="1728"/>
          </w:tcPr>
          <w:p>
            <w:r>
              <w:rPr>
                <w:rFonts w:ascii="Calibri" w:hAnsi="Calibri"/>
                <w:b/>
                <w:color w:val="E5484D"/>
                <w:sz w:val="22"/>
              </w:rPr>
              <w:t>−260 bps</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12.5%</w:t>
            </w:r>
          </w:p>
        </w:tc>
        <w:tc>
          <w:tcPr>
            <w:tcW w:type="dxa" w:w="1728"/>
          </w:tcPr>
          <w:p>
            <w:r>
              <w:rPr>
                <w:rFonts w:ascii="Calibri" w:hAnsi="Calibri"/>
                <w:sz w:val="22"/>
              </w:rPr>
              <w:t>11.7%</w:t>
            </w:r>
          </w:p>
        </w:tc>
        <w:tc>
          <w:tcPr>
            <w:tcW w:type="dxa" w:w="1728"/>
          </w:tcPr>
          <w:p>
            <w:r>
              <w:rPr>
                <w:rFonts w:ascii="Calibri" w:hAnsi="Calibri"/>
                <w:b/>
                <w:color w:val="30A46C"/>
                <w:sz w:val="22"/>
              </w:rPr>
              <w:t>+80 bps</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15.0%</w:t>
            </w:r>
          </w:p>
        </w:tc>
        <w:tc>
          <w:tcPr>
            <w:tcW w:type="dxa" w:w="1728"/>
          </w:tcPr>
          <w:p>
            <w:r>
              <w:rPr>
                <w:rFonts w:ascii="Calibri" w:hAnsi="Calibri"/>
                <w:sz w:val="22"/>
              </w:rPr>
              <w:t>13.6%</w:t>
            </w:r>
          </w:p>
        </w:tc>
        <w:tc>
          <w:tcPr>
            <w:tcW w:type="dxa" w:w="1728"/>
          </w:tcPr>
          <w:p>
            <w:r>
              <w:rPr>
                <w:rFonts w:ascii="Calibri" w:hAnsi="Calibri"/>
                <w:b/>
                <w:color w:val="30A46C"/>
                <w:sz w:val="22"/>
              </w:rPr>
              <w:t>+140 bps</w:t>
            </w:r>
          </w:p>
        </w:tc>
        <w:tc>
          <w:tcPr>
            <w:tcW w:type="dxa" w:w="1728"/>
          </w:tcPr>
          <w:p>
            <w:r>
              <w:rPr>
                <w:rFonts w:ascii="Calibri" w:hAnsi="Calibri"/>
                <w:sz w:val="22"/>
              </w:rPr>
              <w:t>BEAT</w:t>
            </w:r>
          </w:p>
        </w:tc>
      </w:tr>
      <w:tr>
        <w:tc>
          <w:tcPr>
            <w:tcW w:type="dxa" w:w="1728"/>
          </w:tcPr>
          <w:p>
            <w:r>
              <w:rPr>
                <w:rFonts w:ascii="Calibri" w:hAnsi="Calibri"/>
                <w:sz w:val="22"/>
              </w:rPr>
              <w:t>Q3 2025</w:t>
            </w:r>
          </w:p>
        </w:tc>
        <w:tc>
          <w:tcPr>
            <w:tcW w:type="dxa" w:w="1728"/>
          </w:tcPr>
          <w:p>
            <w:r>
              <w:rPr>
                <w:rFonts w:ascii="Calibri" w:hAnsi="Calibri"/>
                <w:sz w:val="22"/>
              </w:rPr>
              <w:t>15.4%</w:t>
            </w:r>
          </w:p>
        </w:tc>
        <w:tc>
          <w:tcPr>
            <w:tcW w:type="dxa" w:w="1728"/>
          </w:tcPr>
          <w:p>
            <w:r>
              <w:rPr>
                <w:rFonts w:ascii="Calibri" w:hAnsi="Calibri"/>
                <w:sz w:val="22"/>
              </w:rPr>
              <w:t>15.6%</w:t>
            </w:r>
          </w:p>
        </w:tc>
        <w:tc>
          <w:tcPr>
            <w:tcW w:type="dxa" w:w="1728"/>
          </w:tcPr>
          <w:p>
            <w:r>
              <w:rPr>
                <w:rFonts w:ascii="Calibri" w:hAnsi="Calibri"/>
                <w:b/>
                <w:color w:val="E5484D"/>
                <w:sz w:val="22"/>
              </w:rPr>
              <w:t>−20 bps</w:t>
            </w:r>
          </w:p>
        </w:tc>
        <w:tc>
          <w:tcPr>
            <w:tcW w:type="dxa" w:w="1728"/>
          </w:tcPr>
          <w:p>
            <w:r>
              <w:rPr>
                <w:rFonts w:ascii="Calibri" w:hAnsi="Calibri"/>
                <w:sz w:val="22"/>
              </w:rPr>
              <w:t>SLIGHT MISS</w:t>
            </w:r>
          </w:p>
        </w:tc>
      </w:tr>
      <w:tr>
        <w:tc>
          <w:tcPr>
            <w:tcW w:type="dxa" w:w="1728"/>
          </w:tcPr>
          <w:p>
            <w:r>
              <w:rPr>
                <w:rFonts w:ascii="Calibri" w:hAnsi="Calibri"/>
                <w:sz w:val="22"/>
              </w:rPr>
              <w:t>Q4 2025</w:t>
            </w:r>
          </w:p>
        </w:tc>
        <w:tc>
          <w:tcPr>
            <w:tcW w:type="dxa" w:w="1728"/>
          </w:tcPr>
          <w:p>
            <w:r>
              <w:rPr>
                <w:rFonts w:ascii="Calibri" w:hAnsi="Calibri"/>
                <w:sz w:val="22"/>
              </w:rPr>
              <w:t>17.9%</w:t>
            </w:r>
          </w:p>
        </w:tc>
        <w:tc>
          <w:tcPr>
            <w:tcW w:type="dxa" w:w="1728"/>
          </w:tcPr>
          <w:p>
            <w:r>
              <w:rPr>
                <w:rFonts w:ascii="Calibri" w:hAnsi="Calibri"/>
                <w:sz w:val="22"/>
              </w:rPr>
              <w:t>14.4%</w:t>
            </w:r>
          </w:p>
        </w:tc>
        <w:tc>
          <w:tcPr>
            <w:tcW w:type="dxa" w:w="1728"/>
          </w:tcPr>
          <w:p>
            <w:r>
              <w:rPr>
                <w:rFonts w:ascii="Calibri" w:hAnsi="Calibri"/>
                <w:b/>
                <w:color w:val="30A46C"/>
                <w:sz w:val="22"/>
              </w:rPr>
              <w:t>+350 bps</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19.2%</w:t>
            </w:r>
          </w:p>
        </w:tc>
        <w:tc>
          <w:tcPr>
            <w:tcW w:type="dxa" w:w="1728"/>
          </w:tcPr>
          <w:p>
            <w:r>
              <w:rPr>
                <w:rFonts w:ascii="Calibri" w:hAnsi="Calibri"/>
                <w:sz w:val="22"/>
              </w:rPr>
              <w:t>15.6%</w:t>
            </w:r>
          </w:p>
        </w:tc>
        <w:tc>
          <w:tcPr>
            <w:tcW w:type="dxa" w:w="1728"/>
          </w:tcPr>
          <w:p>
            <w:r>
              <w:rPr>
                <w:rFonts w:ascii="Calibri" w:hAnsi="Calibri"/>
                <w:b/>
                <w:color w:val="30A46C"/>
                <w:sz w:val="22"/>
              </w:rPr>
              <w:t>+360 bps</w:t>
            </w:r>
          </w:p>
        </w:tc>
        <w:tc>
          <w:tcPr>
            <w:tcW w:type="dxa" w:w="1728"/>
          </w:tcPr>
          <w:p>
            <w:r>
              <w:rPr>
                <w:rFonts w:ascii="Calibri" w:hAnsi="Calibri"/>
                <w:sz w:val="22"/>
              </w:rPr>
              <w:t>BEAT (one-time items)</w:t>
            </w:r>
          </w:p>
        </w:tc>
      </w:tr>
    </w:tbl>
    <w:p>
      <w:r>
        <w:rPr>
          <w:rFonts w:ascii="Calibri" w:hAnsi="Calibri"/>
          <w:b/>
          <w:color w:val="525866"/>
          <w:sz w:val="22"/>
        </w:rPr>
        <w:t>KPI 2: Total Vehicle Deliveries (K units)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(K)</w:t>
            </w:r>
          </w:p>
        </w:tc>
        <w:tc>
          <w:tcPr>
            <w:tcW w:type="dxa" w:w="1728"/>
            <w:shd w:val="clear" w:color="auto" w:fill="3B4259"/>
          </w:tcPr>
          <w:p>
            <w:r>
              <w:rPr>
                <w:rFonts w:ascii="Calibri" w:hAnsi="Calibri"/>
                <w:b/>
                <w:color w:val="FFFFFF"/>
                <w:sz w:val="22"/>
              </w:rPr>
              <w:t>Consensus (K)</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444</w:t>
            </w:r>
          </w:p>
        </w:tc>
        <w:tc>
          <w:tcPr>
            <w:tcW w:type="dxa" w:w="1728"/>
          </w:tcPr>
          <w:p>
            <w:r>
              <w:rPr>
                <w:rFonts w:ascii="Calibri" w:hAnsi="Calibri"/>
                <w:sz w:val="22"/>
              </w:rPr>
              <w:t>449</w:t>
            </w:r>
          </w:p>
        </w:tc>
        <w:tc>
          <w:tcPr>
            <w:tcW w:type="dxa" w:w="1728"/>
          </w:tcPr>
          <w:p>
            <w:r>
              <w:rPr>
                <w:rFonts w:ascii="Calibri" w:hAnsi="Calibri"/>
                <w:b/>
                <w:color w:val="E5484D"/>
                <w:sz w:val="22"/>
              </w:rPr>
              <w:t>−1.0%</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463</w:t>
            </w:r>
          </w:p>
        </w:tc>
        <w:tc>
          <w:tcPr>
            <w:tcW w:type="dxa" w:w="1728"/>
          </w:tcPr>
          <w:p>
            <w:r>
              <w:rPr>
                <w:rFonts w:ascii="Calibri" w:hAnsi="Calibri"/>
                <w:sz w:val="22"/>
              </w:rPr>
              <w:t>463</w:t>
            </w:r>
          </w:p>
        </w:tc>
        <w:tc>
          <w:tcPr>
            <w:tcW w:type="dxa" w:w="1728"/>
          </w:tcPr>
          <w:p>
            <w:r>
              <w:rPr>
                <w:rFonts w:ascii="Calibri" w:hAnsi="Calibri"/>
                <w:sz w:val="22"/>
              </w:rPr>
              <w:t>0.0%</w:t>
            </w:r>
          </w:p>
        </w:tc>
        <w:tc>
          <w:tcPr>
            <w:tcW w:type="dxa" w:w="1728"/>
          </w:tcPr>
          <w:p>
            <w:r>
              <w:rPr>
                <w:rFonts w:ascii="Calibri" w:hAnsi="Calibri"/>
                <w:sz w:val="22"/>
              </w:rPr>
              <w:t>IN LINE</w:t>
            </w:r>
          </w:p>
        </w:tc>
      </w:tr>
      <w:tr>
        <w:tc>
          <w:tcPr>
            <w:tcW w:type="dxa" w:w="1728"/>
          </w:tcPr>
          <w:p>
            <w:r>
              <w:rPr>
                <w:rFonts w:ascii="Calibri" w:hAnsi="Calibri"/>
                <w:sz w:val="22"/>
              </w:rPr>
              <w:t>Q4 2024</w:t>
            </w:r>
          </w:p>
        </w:tc>
        <w:tc>
          <w:tcPr>
            <w:tcW w:type="dxa" w:w="1728"/>
          </w:tcPr>
          <w:p>
            <w:r>
              <w:rPr>
                <w:rFonts w:ascii="Calibri" w:hAnsi="Calibri"/>
                <w:sz w:val="22"/>
              </w:rPr>
              <w:t>496</w:t>
            </w:r>
          </w:p>
        </w:tc>
        <w:tc>
          <w:tcPr>
            <w:tcW w:type="dxa" w:w="1728"/>
          </w:tcPr>
          <w:p>
            <w:r>
              <w:rPr>
                <w:rFonts w:ascii="Calibri" w:hAnsi="Calibri"/>
                <w:sz w:val="22"/>
              </w:rPr>
              <w:t>503</w:t>
            </w:r>
          </w:p>
        </w:tc>
        <w:tc>
          <w:tcPr>
            <w:tcW w:type="dxa" w:w="1728"/>
          </w:tcPr>
          <w:p>
            <w:r>
              <w:rPr>
                <w:rFonts w:ascii="Calibri" w:hAnsi="Calibri"/>
                <w:b/>
                <w:color w:val="E5484D"/>
                <w:sz w:val="22"/>
              </w:rPr>
              <w:t>−1.4%</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337</w:t>
            </w:r>
          </w:p>
        </w:tc>
        <w:tc>
          <w:tcPr>
            <w:tcW w:type="dxa" w:w="1728"/>
          </w:tcPr>
          <w:p>
            <w:r>
              <w:rPr>
                <w:rFonts w:ascii="Calibri" w:hAnsi="Calibri"/>
                <w:sz w:val="22"/>
              </w:rPr>
              <w:t>370</w:t>
            </w:r>
          </w:p>
        </w:tc>
        <w:tc>
          <w:tcPr>
            <w:tcW w:type="dxa" w:w="1728"/>
          </w:tcPr>
          <w:p>
            <w:r>
              <w:rPr>
                <w:rFonts w:ascii="Calibri" w:hAnsi="Calibri"/>
                <w:b/>
                <w:color w:val="E5484D"/>
                <w:sz w:val="22"/>
              </w:rPr>
              <w:t>−8.9%</w:t>
            </w:r>
          </w:p>
        </w:tc>
        <w:tc>
          <w:tcPr>
            <w:tcW w:type="dxa" w:w="1728"/>
          </w:tcPr>
          <w:p>
            <w:r>
              <w:rPr>
                <w:rFonts w:ascii="Calibri" w:hAnsi="Calibri"/>
                <w:sz w:val="22"/>
              </w:rPr>
              <w:t>MISS</w:t>
            </w:r>
          </w:p>
        </w:tc>
      </w:tr>
      <w:tr>
        <w:tc>
          <w:tcPr>
            <w:tcW w:type="dxa" w:w="1728"/>
          </w:tcPr>
          <w:p>
            <w:r>
              <w:rPr>
                <w:rFonts w:ascii="Calibri" w:hAnsi="Calibri"/>
                <w:sz w:val="22"/>
              </w:rPr>
              <w:t>Q2 2025</w:t>
            </w:r>
          </w:p>
        </w:tc>
        <w:tc>
          <w:tcPr>
            <w:tcW w:type="dxa" w:w="1728"/>
          </w:tcPr>
          <w:p>
            <w:r>
              <w:rPr>
                <w:rFonts w:ascii="Calibri" w:hAnsi="Calibri"/>
                <w:sz w:val="22"/>
              </w:rPr>
              <w:t>384</w:t>
            </w:r>
          </w:p>
        </w:tc>
        <w:tc>
          <w:tcPr>
            <w:tcW w:type="dxa" w:w="1728"/>
          </w:tcPr>
          <w:p>
            <w:r>
              <w:rPr>
                <w:rFonts w:ascii="Calibri" w:hAnsi="Calibri"/>
                <w:sz w:val="22"/>
              </w:rPr>
              <w:t>398</w:t>
            </w:r>
          </w:p>
        </w:tc>
        <w:tc>
          <w:tcPr>
            <w:tcW w:type="dxa" w:w="1728"/>
          </w:tcPr>
          <w:p>
            <w:r>
              <w:rPr>
                <w:rFonts w:ascii="Calibri" w:hAnsi="Calibri"/>
                <w:b/>
                <w:color w:val="E5484D"/>
                <w:sz w:val="22"/>
              </w:rPr>
              <w:t>−3.5%</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497</w:t>
            </w:r>
          </w:p>
        </w:tc>
        <w:tc>
          <w:tcPr>
            <w:tcW w:type="dxa" w:w="1728"/>
          </w:tcPr>
          <w:p>
            <w:r>
              <w:rPr>
                <w:rFonts w:ascii="Calibri" w:hAnsi="Calibri"/>
                <w:sz w:val="22"/>
              </w:rPr>
              <w:t>471</w:t>
            </w:r>
          </w:p>
        </w:tc>
        <w:tc>
          <w:tcPr>
            <w:tcW w:type="dxa" w:w="1728"/>
          </w:tcPr>
          <w:p>
            <w:r>
              <w:rPr>
                <w:rFonts w:ascii="Calibri" w:hAnsi="Calibri"/>
                <w:b/>
                <w:color w:val="30A46C"/>
                <w:sz w:val="22"/>
              </w:rPr>
              <w:t>+5.5%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418</w:t>
            </w:r>
          </w:p>
        </w:tc>
        <w:tc>
          <w:tcPr>
            <w:tcW w:type="dxa" w:w="1728"/>
          </w:tcPr>
          <w:p>
            <w:r>
              <w:rPr>
                <w:rFonts w:ascii="Calibri" w:hAnsi="Calibri"/>
                <w:sz w:val="22"/>
              </w:rPr>
              <w:t>429</w:t>
            </w:r>
          </w:p>
        </w:tc>
        <w:tc>
          <w:tcPr>
            <w:tcW w:type="dxa" w:w="1728"/>
          </w:tcPr>
          <w:p>
            <w:r>
              <w:rPr>
                <w:rFonts w:ascii="Calibri" w:hAnsi="Calibri"/>
                <w:b/>
                <w:color w:val="E5484D"/>
                <w:sz w:val="22"/>
              </w:rPr>
              <w:t>−2.6%</w:t>
            </w:r>
          </w:p>
        </w:tc>
        <w:tc>
          <w:tcPr>
            <w:tcW w:type="dxa" w:w="1728"/>
          </w:tcPr>
          <w:p>
            <w:r>
              <w:rPr>
                <w:rFonts w:ascii="Calibri" w:hAnsi="Calibri"/>
                <w:sz w:val="22"/>
              </w:rPr>
              <w:t>MISS</w:t>
            </w:r>
          </w:p>
        </w:tc>
      </w:tr>
      <w:tr>
        <w:tc>
          <w:tcPr>
            <w:tcW w:type="dxa" w:w="1728"/>
          </w:tcPr>
          <w:p>
            <w:r>
              <w:rPr>
                <w:rFonts w:ascii="Calibri" w:hAnsi="Calibri"/>
                <w:sz w:val="22"/>
              </w:rPr>
              <w:t>Q1 2026</w:t>
            </w:r>
          </w:p>
        </w:tc>
        <w:tc>
          <w:tcPr>
            <w:tcW w:type="dxa" w:w="1728"/>
          </w:tcPr>
          <w:p>
            <w:r>
              <w:rPr>
                <w:rFonts w:ascii="Calibri" w:hAnsi="Calibri"/>
                <w:sz w:val="22"/>
              </w:rPr>
              <w:t>358</w:t>
            </w:r>
          </w:p>
        </w:tc>
        <w:tc>
          <w:tcPr>
            <w:tcW w:type="dxa" w:w="1728"/>
          </w:tcPr>
          <w:p>
            <w:r>
              <w:rPr>
                <w:rFonts w:ascii="Calibri" w:hAnsi="Calibri"/>
                <w:sz w:val="22"/>
              </w:rPr>
              <w:t>362</w:t>
            </w:r>
          </w:p>
        </w:tc>
        <w:tc>
          <w:tcPr>
            <w:tcW w:type="dxa" w:w="1728"/>
          </w:tcPr>
          <w:p>
            <w:r>
              <w:rPr>
                <w:rFonts w:ascii="Calibri" w:hAnsi="Calibri"/>
                <w:b/>
                <w:color w:val="E5484D"/>
                <w:sz w:val="22"/>
              </w:rPr>
              <w:t>−1.1%</w:t>
            </w:r>
          </w:p>
        </w:tc>
        <w:tc>
          <w:tcPr>
            <w:tcW w:type="dxa" w:w="1728"/>
          </w:tcPr>
          <w:p>
            <w:r>
              <w:rPr>
                <w:rFonts w:ascii="Calibri" w:hAnsi="Calibri"/>
                <w:sz w:val="22"/>
              </w:rPr>
              <w:t>SLIGHT MISS</w:t>
            </w:r>
          </w:p>
        </w:tc>
      </w:tr>
    </w:tbl>
    <w:p>
      <w:r>
        <w:rPr>
          <w:rFonts w:ascii="Calibri" w:hAnsi="Calibri"/>
          <w:b/>
          <w:color w:val="525866"/>
          <w:sz w:val="22"/>
        </w:rPr>
        <w:t xml:space="preserve">Pattern: </w:t>
      </w:r>
      <w:r>
        <w:rPr>
          <w:rFonts w:ascii="Calibri" w:hAnsi="Calibri"/>
          <w:color w:val="525866"/>
          <w:sz w:val="22"/>
        </w:rPr>
        <w:t>Tesla has missed delivery consensus in 6 of the last 8 quarters, reflecting a structural tendency for the Street to over-estimate volumes; the Q2 2026 delivery beat (480K vs. ~447K) is therefore a meaningful positive inflection. On automotive gross margin, the pattern is more mixed — large beats in Q3 2025, Q4 2025, and Q1 2026 were all aided by one-time items, making the underlying trend harder to read.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No formal Q2 financial guidance was issued at the Q1 earnings call; the only post-earnings guidance update was the July 2 production/delivery press release confirming 480K deliveries and 13.5 GWh energy storage. Management tone has shifted more confident on autonomy but more cautious on near-term margins and free cash flow.</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22)</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FY2026 CapEx</w:t>
            </w:r>
          </w:p>
        </w:tc>
        <w:tc>
          <w:tcPr>
            <w:tcW w:type="dxa" w:w="1728"/>
          </w:tcPr>
          <w:p>
            <w:r>
              <w:rPr>
                <w:rFonts w:ascii="Calibri" w:hAnsi="Calibri"/>
                <w:sz w:val="22"/>
              </w:rPr>
              <w:t>Over $25B (raised from prior &gt;$20B)</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Raised at Q1 earnings; includes 6 factories, AI infrastructure, Robotaxi/Optimus launch, and research chip fab (~$3B) on Giga Texas campus</w:t>
            </w:r>
          </w:p>
        </w:tc>
      </w:tr>
      <w:tr>
        <w:tc>
          <w:tcPr>
            <w:tcW w:type="dxa" w:w="1728"/>
          </w:tcPr>
          <w:p>
            <w:r>
              <w:rPr>
                <w:rFonts w:ascii="Calibri" w:hAnsi="Calibri"/>
                <w:sz w:val="22"/>
              </w:rPr>
              <w:t>FY2026 Free Cash Flow</w:t>
            </w:r>
          </w:p>
        </w:tc>
        <w:tc>
          <w:tcPr>
            <w:tcW w:type="dxa" w:w="1728"/>
          </w:tcPr>
          <w:p>
            <w:r>
              <w:rPr>
                <w:rFonts w:ascii="Calibri" w:hAnsi="Calibri"/>
                <w:sz w:val="22"/>
              </w:rPr>
              <w:t>Negative for remainder of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Explicitly guided negative FCF; management framed as a multi-year investment phase (~2 years)</w:t>
            </w:r>
          </w:p>
        </w:tc>
      </w:tr>
      <w:tr>
        <w:tc>
          <w:tcPr>
            <w:tcW w:type="dxa" w:w="1728"/>
          </w:tcPr>
          <w:p>
            <w:r>
              <w:rPr>
                <w:rFonts w:ascii="Calibri" w:hAnsi="Calibri"/>
                <w:sz w:val="22"/>
              </w:rPr>
              <w:t>FY2026 Energy Storage Deployments</w:t>
            </w:r>
          </w:p>
        </w:tc>
        <w:tc>
          <w:tcPr>
            <w:tcW w:type="dxa" w:w="1728"/>
          </w:tcPr>
          <w:p>
            <w:r>
              <w:rPr>
                <w:rFonts w:ascii="Calibri" w:hAnsi="Calibri"/>
                <w:sz w:val="22"/>
              </w:rPr>
              <w:t>Higher than FY2025 (~46.2 GWh)</w:t>
            </w:r>
          </w:p>
        </w:tc>
        <w:tc>
          <w:tcPr>
            <w:tcW w:type="dxa" w:w="1728"/>
          </w:tcPr>
          <w:p>
            <w:r>
              <w:rPr>
                <w:rFonts w:ascii="Calibri" w:hAnsi="Calibri"/>
                <w:sz w:val="22"/>
              </w:rPr>
              <w:t>—</w:t>
            </w:r>
          </w:p>
        </w:tc>
        <w:tc>
          <w:tcPr>
            <w:tcW w:type="dxa" w:w="1728"/>
          </w:tcPr>
          <w:p>
            <w:r>
              <w:rPr>
                <w:rFonts w:ascii="Calibri" w:hAnsi="Calibri"/>
                <w:sz w:val="22"/>
              </w:rPr>
              <w:t>~60.0 GWh (VA consensus)</w:t>
            </w:r>
          </w:p>
        </w:tc>
        <w:tc>
          <w:tcPr>
            <w:tcW w:type="dxa" w:w="1728"/>
          </w:tcPr>
          <w:p>
            <w:r>
              <w:rPr>
                <w:rFonts w:ascii="Calibri" w:hAnsi="Calibri"/>
                <w:sz w:val="22"/>
              </w:rPr>
              <w:t>Mgmt maintained full-year outlook despite Q1 sequential decline; Megapack 3 factory near Houston launching later in 2026; demand described as “very strong”</w:t>
            </w:r>
          </w:p>
        </w:tc>
      </w:tr>
      <w:tr>
        <w:tc>
          <w:tcPr>
            <w:tcW w:type="dxa" w:w="1728"/>
          </w:tcPr>
          <w:p>
            <w:r>
              <w:rPr>
                <w:rFonts w:ascii="Calibri" w:hAnsi="Calibri"/>
                <w:sz w:val="22"/>
              </w:rPr>
              <w:t>Automotive Gross Margin ex-Credits</w:t>
            </w:r>
          </w:p>
        </w:tc>
        <w:tc>
          <w:tcPr>
            <w:tcW w:type="dxa" w:w="1728"/>
          </w:tcPr>
          <w:p>
            <w:r>
              <w:rPr>
                <w:rFonts w:ascii="Calibri" w:hAnsi="Calibri"/>
                <w:sz w:val="22"/>
              </w:rPr>
              <w:t>No explicit guidance; flagged tariffs and interest rate subvention as ongoing headwinds; Q1 one-time items (~$230M warranty true-down) explicitly called out as non-recurring</w:t>
            </w:r>
          </w:p>
        </w:tc>
        <w:tc>
          <w:tcPr>
            <w:tcW w:type="dxa" w:w="1728"/>
          </w:tcPr>
          <w:p>
            <w:r>
              <w:rPr>
                <w:rFonts w:ascii="Calibri" w:hAnsi="Calibri"/>
                <w:sz w:val="22"/>
              </w:rPr>
              <w:t>—</w:t>
            </w:r>
          </w:p>
        </w:tc>
        <w:tc>
          <w:tcPr>
            <w:tcW w:type="dxa" w:w="1728"/>
          </w:tcPr>
          <w:p>
            <w:r>
              <w:rPr>
                <w:rFonts w:ascii="Calibri" w:hAnsi="Calibri"/>
                <w:sz w:val="22"/>
              </w:rPr>
              <w:t>~18.1% for Q2 2026; ~18.0% for FY2026</w:t>
            </w:r>
          </w:p>
        </w:tc>
        <w:tc>
          <w:tcPr>
            <w:tcW w:type="dxa" w:w="1728"/>
          </w:tcPr>
          <w:p>
            <w:r>
              <w:rPr>
                <w:rFonts w:ascii="Calibri" w:hAnsi="Calibri"/>
                <w:sz w:val="22"/>
              </w:rPr>
              <w:t>Normalized Q1 margin implied ~17–18%; tariff uncertainty (Supreme Court IEEPA ruling not yet reflected in results) adds upside optionality</w:t>
            </w:r>
          </w:p>
        </w:tc>
      </w:tr>
      <w:tr>
        <w:tc>
          <w:tcPr>
            <w:tcW w:type="dxa" w:w="1728"/>
          </w:tcPr>
          <w:p>
            <w:r>
              <w:rPr>
                <w:rFonts w:ascii="Calibri" w:hAnsi="Calibri"/>
                <w:sz w:val="22"/>
              </w:rPr>
              <w:t>Robotaxi / Unsupervised FSD Rollout</w:t>
            </w:r>
          </w:p>
        </w:tc>
        <w:tc>
          <w:tcPr>
            <w:tcW w:type="dxa" w:w="1728"/>
          </w:tcPr>
          <w:p>
            <w:r>
              <w:rPr>
                <w:rFonts w:ascii="Calibri" w:hAnsi="Calibri"/>
                <w:sz w:val="22"/>
              </w:rPr>
              <w:t>~12+ states by year-end 2026; unsupervised FSD on customer cars targeted Q4 2026; EU-wide FSD approval expected later in Q2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Robotaxi expanded to Dallas and Houston post-Q1; no safety monitors or chase cars; fleet growing QoQ; revenue “not super material” in 2026 but “material in a significant way” in 2027</w:t>
            </w:r>
          </w:p>
        </w:tc>
      </w:tr>
      <w:tr>
        <w:tc>
          <w:tcPr>
            <w:tcW w:type="dxa" w:w="1728"/>
          </w:tcPr>
          <w:p>
            <w:r>
              <w:rPr>
                <w:rFonts w:ascii="Calibri" w:hAnsi="Calibri"/>
                <w:sz w:val="22"/>
              </w:rPr>
              <w:t>FY2026 Vehicle Deliveries</w:t>
            </w:r>
          </w:p>
        </w:tc>
        <w:tc>
          <w:tcPr>
            <w:tcW w:type="dxa" w:w="1728"/>
          </w:tcPr>
          <w:p>
            <w:r>
              <w:rPr>
                <w:rFonts w:ascii="Calibri" w:hAnsi="Calibri"/>
                <w:sz w:val="22"/>
              </w:rPr>
              <w:t>No explicit unit guidance; battery pack capacity cited as primary limiter; all factories ramping</w:t>
            </w:r>
          </w:p>
        </w:tc>
        <w:tc>
          <w:tcPr>
            <w:tcW w:type="dxa" w:w="1728"/>
          </w:tcPr>
          <w:p>
            <w:r>
              <w:rPr>
                <w:rFonts w:ascii="Calibri" w:hAnsi="Calibri"/>
                <w:sz w:val="22"/>
              </w:rPr>
              <w:t>Q2 2026: 480,126 delivered (July 2 press release)</w:t>
            </w:r>
          </w:p>
        </w:tc>
        <w:tc>
          <w:tcPr>
            <w:tcW w:type="dxa" w:w="1728"/>
          </w:tcPr>
          <w:p>
            <w:r>
              <w:rPr>
                <w:rFonts w:ascii="Calibri" w:hAnsi="Calibri"/>
                <w:sz w:val="22"/>
              </w:rPr>
              <w:t>~1.70M units FY2026</w:t>
            </w:r>
          </w:p>
        </w:tc>
        <w:tc>
          <w:tcPr>
            <w:tcW w:type="dxa" w:w="1728"/>
          </w:tcPr>
          <w:p>
            <w:r>
              <w:rPr>
                <w:rFonts w:ascii="Calibri" w:hAnsi="Calibri"/>
                <w:sz w:val="22"/>
              </w:rPr>
              <w:t>↑ Q2 delivery beat (480K vs. ~447K consensus) provides positive read-through for FY volume trajectory; Cybercab and Semi production beginning slowly, ramping exponentially toward year-end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have recovered sharply from their May trough after the delivery beat, but remain below the post-Q1 baseline on EPS, suggesting the Street is not fully crediting the volume upside with margin confidence. FY2026 estimates have drifted modestly higher but the gap between consensus and the implied guidance trajectory on margins remains a source of uncertainty.</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29, 2026)</w:t>
            </w:r>
          </w:p>
        </w:tc>
        <w:tc>
          <w:tcPr>
            <w:tcW w:type="dxa" w:w="1080"/>
            <w:shd w:val="clear" w:color="auto" w:fill="3B4259"/>
          </w:tcPr>
          <w:p>
            <w:r>
              <w:rPr>
                <w:rFonts w:ascii="Calibri" w:hAnsi="Calibri"/>
                <w:b/>
                <w:color w:val="FFFFFF"/>
                <w:sz w:val="22"/>
              </w:rPr>
              <w:t>Current Consensus (Jul 21,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Total Revenue — Q2 2026</w:t>
            </w:r>
          </w:p>
        </w:tc>
        <w:tc>
          <w:tcPr>
            <w:tcW w:type="dxa" w:w="1080"/>
          </w:tcPr>
          <w:p>
            <w:r>
              <w:rPr>
                <w:rFonts w:ascii="Calibri" w:hAnsi="Calibri"/>
                <w:sz w:val="22"/>
              </w:rPr>
              <w:t>$24.6B</w:t>
            </w:r>
          </w:p>
        </w:tc>
        <w:tc>
          <w:tcPr>
            <w:tcW w:type="dxa" w:w="1080"/>
          </w:tcPr>
          <w:p>
            <w:r>
              <w:rPr>
                <w:rFonts w:ascii="Calibri" w:hAnsi="Calibri"/>
                <w:sz w:val="22"/>
              </w:rPr>
              <w:t>$26.7B</w:t>
            </w:r>
          </w:p>
        </w:tc>
        <w:tc>
          <w:tcPr>
            <w:tcW w:type="dxa" w:w="1080"/>
          </w:tcPr>
          <w:p>
            <w:r>
              <w:rPr>
                <w:rFonts w:ascii="Calibri" w:hAnsi="Calibri"/>
                <w:b/>
                <w:color w:val="30A46C"/>
                <w:sz w:val="22"/>
              </w:rPr>
              <w:t>+8.5%</w:t>
            </w:r>
          </w:p>
        </w:tc>
        <w:tc>
          <w:tcPr>
            <w:tcW w:type="dxa" w:w="1080"/>
          </w:tcPr>
          <w:p>
            <w:r>
              <w:rPr>
                <w:rFonts w:ascii="Calibri" w:hAnsi="Calibri"/>
                <w:sz w:val="22"/>
              </w:rPr>
              <w:t>No explicit Q2 guidance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FY2026</w:t>
            </w:r>
          </w:p>
        </w:tc>
        <w:tc>
          <w:tcPr>
            <w:tcW w:type="dxa" w:w="1080"/>
          </w:tcPr>
          <w:p>
            <w:r>
              <w:rPr>
                <w:rFonts w:ascii="Calibri" w:hAnsi="Calibri"/>
                <w:sz w:val="22"/>
              </w:rPr>
              <w:t>$102.9B</w:t>
            </w:r>
          </w:p>
        </w:tc>
        <w:tc>
          <w:tcPr>
            <w:tcW w:type="dxa" w:w="1080"/>
          </w:tcPr>
          <w:p>
            <w:r>
              <w:rPr>
                <w:rFonts w:ascii="Calibri" w:hAnsi="Calibri"/>
                <w:sz w:val="22"/>
              </w:rPr>
              <w:t>$104.9B</w:t>
            </w:r>
          </w:p>
        </w:tc>
        <w:tc>
          <w:tcPr>
            <w:tcW w:type="dxa" w:w="1080"/>
          </w:tcPr>
          <w:p>
            <w:r>
              <w:rPr>
                <w:rFonts w:ascii="Calibri" w:hAnsi="Calibri"/>
                <w:b/>
                <w:color w:val="30A46C"/>
                <w:sz w:val="22"/>
              </w:rPr>
              <w:t>+2.0%</w:t>
            </w:r>
          </w:p>
        </w:tc>
        <w:tc>
          <w:tcPr>
            <w:tcW w:type="dxa" w:w="1080"/>
          </w:tcPr>
          <w:p>
            <w:r>
              <w:rPr>
                <w:rFonts w:ascii="Calibri" w:hAnsi="Calibri"/>
                <w:sz w:val="22"/>
              </w:rPr>
              <w:t>No explicit FY guidance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EPS – Operating — Q2 2026</w:t>
            </w:r>
          </w:p>
        </w:tc>
        <w:tc>
          <w:tcPr>
            <w:tcW w:type="dxa" w:w="1080"/>
          </w:tcPr>
          <w:p>
            <w:r>
              <w:rPr>
                <w:rFonts w:ascii="Calibri" w:hAnsi="Calibri"/>
                <w:sz w:val="22"/>
              </w:rPr>
              <w:t>$0.47</w:t>
            </w:r>
          </w:p>
        </w:tc>
        <w:tc>
          <w:tcPr>
            <w:tcW w:type="dxa" w:w="1080"/>
          </w:tcPr>
          <w:p>
            <w:r>
              <w:rPr>
                <w:rFonts w:ascii="Calibri" w:hAnsi="Calibri"/>
                <w:sz w:val="22"/>
              </w:rPr>
              <w:t>$0.55</w:t>
            </w:r>
          </w:p>
        </w:tc>
        <w:tc>
          <w:tcPr>
            <w:tcW w:type="dxa" w:w="1080"/>
          </w:tcPr>
          <w:p>
            <w:r>
              <w:rPr>
                <w:rFonts w:ascii="Calibri" w:hAnsi="Calibri"/>
                <w:b/>
                <w:color w:val="30A46C"/>
                <w:sz w:val="22"/>
              </w:rPr>
              <w:t>+17.0%</w:t>
            </w:r>
          </w:p>
        </w:tc>
        <w:tc>
          <w:tcPr>
            <w:tcW w:type="dxa" w:w="1080"/>
          </w:tcPr>
          <w:p>
            <w:r>
              <w:rPr>
                <w:rFonts w:ascii="Calibri" w:hAnsi="Calibri"/>
                <w:sz w:val="22"/>
              </w:rPr>
              <w:t>No explicit Q2 guidance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EPS – Operating — FY2026</w:t>
            </w:r>
          </w:p>
        </w:tc>
        <w:tc>
          <w:tcPr>
            <w:tcW w:type="dxa" w:w="1080"/>
          </w:tcPr>
          <w:p>
            <w:r>
              <w:rPr>
                <w:rFonts w:ascii="Calibri" w:hAnsi="Calibri"/>
                <w:sz w:val="22"/>
              </w:rPr>
              <w:t>$2.04</w:t>
            </w:r>
          </w:p>
        </w:tc>
        <w:tc>
          <w:tcPr>
            <w:tcW w:type="dxa" w:w="1080"/>
          </w:tcPr>
          <w:p>
            <w:r>
              <w:rPr>
                <w:rFonts w:ascii="Calibri" w:hAnsi="Calibri"/>
                <w:sz w:val="22"/>
              </w:rPr>
              <w:t>$2.16</w:t>
            </w:r>
          </w:p>
        </w:tc>
        <w:tc>
          <w:tcPr>
            <w:tcW w:type="dxa" w:w="1080"/>
          </w:tcPr>
          <w:p>
            <w:r>
              <w:rPr>
                <w:rFonts w:ascii="Calibri" w:hAnsi="Calibri"/>
                <w:b/>
                <w:color w:val="30A46C"/>
                <w:sz w:val="22"/>
              </w:rPr>
              <w:t>+5.9%</w:t>
            </w:r>
          </w:p>
        </w:tc>
        <w:tc>
          <w:tcPr>
            <w:tcW w:type="dxa" w:w="1080"/>
          </w:tcPr>
          <w:p>
            <w:r>
              <w:rPr>
                <w:rFonts w:ascii="Calibri" w:hAnsi="Calibri"/>
                <w:sz w:val="22"/>
              </w:rPr>
              <w:t>No explicit FY guidance</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Deliveries — Q2 2026 (K units)</w:t>
            </w:r>
          </w:p>
        </w:tc>
        <w:tc>
          <w:tcPr>
            <w:tcW w:type="dxa" w:w="1080"/>
          </w:tcPr>
          <w:p>
            <w:r>
              <w:rPr>
                <w:rFonts w:ascii="Calibri" w:hAnsi="Calibri"/>
                <w:sz w:val="22"/>
              </w:rPr>
              <w:t>~400K (pre-delivery-report baseline)</w:t>
            </w:r>
          </w:p>
        </w:tc>
        <w:tc>
          <w:tcPr>
            <w:tcW w:type="dxa" w:w="1080"/>
          </w:tcPr>
          <w:p>
            <w:r>
              <w:rPr>
                <w:rFonts w:ascii="Calibri" w:hAnsi="Calibri"/>
                <w:sz w:val="22"/>
              </w:rPr>
              <w:t>480K (reported Jul 2)</w:t>
            </w:r>
          </w:p>
        </w:tc>
        <w:tc>
          <w:tcPr>
            <w:tcW w:type="dxa" w:w="1080"/>
          </w:tcPr>
          <w:p>
            <w:r>
              <w:rPr>
                <w:rFonts w:ascii="Calibri" w:hAnsi="Calibri"/>
                <w:b/>
                <w:color w:val="30A46C"/>
                <w:sz w:val="22"/>
              </w:rPr>
              <w:t>+20.0% vs. pre-report est.</w:t>
            </w:r>
          </w:p>
        </w:tc>
        <w:tc>
          <w:tcPr>
            <w:tcW w:type="dxa" w:w="1080"/>
          </w:tcPr>
          <w:p>
            <w:r>
              <w:rPr>
                <w:rFonts w:ascii="Calibri" w:hAnsi="Calibri"/>
                <w:sz w:val="22"/>
              </w:rPr>
              <w:t>No explicit Q2 guidance; battery pack capacity cited as limiter</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Beat by ~7% vs. 447K consensus</w:t>
            </w:r>
          </w:p>
        </w:tc>
      </w:tr>
      <w:tr>
        <w:tc>
          <w:tcPr>
            <w:tcW w:type="dxa" w:w="1080"/>
          </w:tcPr>
          <w:p>
            <w:r>
              <w:rPr>
                <w:rFonts w:ascii="Calibri" w:hAnsi="Calibri"/>
                <w:sz w:val="22"/>
              </w:rPr>
              <w:t>Automotive Gross Margin ex-Credits — Q2 2026 (%)</w:t>
            </w:r>
          </w:p>
        </w:tc>
        <w:tc>
          <w:tcPr>
            <w:tcW w:type="dxa" w:w="1080"/>
          </w:tcPr>
          <w:p>
            <w:r>
              <w:rPr>
                <w:rFonts w:ascii="Calibri" w:hAnsi="Calibri"/>
                <w:sz w:val="22"/>
              </w:rPr>
              <w:t>~17.6%</w:t>
            </w:r>
          </w:p>
        </w:tc>
        <w:tc>
          <w:tcPr>
            <w:tcW w:type="dxa" w:w="1080"/>
          </w:tcPr>
          <w:p>
            <w:r>
              <w:rPr>
                <w:rFonts w:ascii="Calibri" w:hAnsi="Calibri"/>
                <w:sz w:val="22"/>
              </w:rPr>
              <w:t>~18.1%</w:t>
            </w:r>
          </w:p>
        </w:tc>
        <w:tc>
          <w:tcPr>
            <w:tcW w:type="dxa" w:w="1080"/>
          </w:tcPr>
          <w:p>
            <w:r>
              <w:rPr>
                <w:rFonts w:ascii="Calibri" w:hAnsi="Calibri"/>
                <w:b/>
                <w:color w:val="30A46C"/>
                <w:sz w:val="22"/>
              </w:rPr>
              <w:t>+50 bps</w:t>
            </w:r>
          </w:p>
        </w:tc>
        <w:tc>
          <w:tcPr>
            <w:tcW w:type="dxa" w:w="1080"/>
          </w:tcPr>
          <w:p>
            <w:r>
              <w:rPr>
                <w:rFonts w:ascii="Calibri" w:hAnsi="Calibri"/>
                <w:sz w:val="22"/>
              </w:rPr>
              <w:t>No explicit guidance; flagged tariffs and interest rate subvention as headwinds; Q1 one-time items non-recurring</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Consensus ~18.1% implies modest improvement from normalized Q1 (~17–18%)</w:t>
            </w:r>
          </w:p>
        </w:tc>
      </w:tr>
      <w:tr>
        <w:tc>
          <w:tcPr>
            <w:tcW w:type="dxa" w:w="1080"/>
          </w:tcPr>
          <w:p>
            <w:r>
              <w:rPr>
                <w:rFonts w:ascii="Calibri" w:hAnsi="Calibri"/>
                <w:sz w:val="22"/>
              </w:rPr>
              <w:t>Energy Storage Deployed — Q2 2026 (GWh)</w:t>
            </w:r>
          </w:p>
        </w:tc>
        <w:tc>
          <w:tcPr>
            <w:tcW w:type="dxa" w:w="1080"/>
          </w:tcPr>
          <w:p>
            <w:r>
              <w:rPr>
                <w:rFonts w:ascii="Calibri" w:hAnsi="Calibri"/>
                <w:sz w:val="22"/>
              </w:rPr>
              <w:t>~14.4 GWh</w:t>
            </w:r>
          </w:p>
        </w:tc>
        <w:tc>
          <w:tcPr>
            <w:tcW w:type="dxa" w:w="1080"/>
          </w:tcPr>
          <w:p>
            <w:r>
              <w:rPr>
                <w:rFonts w:ascii="Calibri" w:hAnsi="Calibri"/>
                <w:sz w:val="22"/>
              </w:rPr>
              <w:t>~14.1 GWh</w:t>
            </w:r>
          </w:p>
        </w:tc>
        <w:tc>
          <w:tcPr>
            <w:tcW w:type="dxa" w:w="1080"/>
          </w:tcPr>
          <w:p>
            <w:r>
              <w:rPr>
                <w:rFonts w:ascii="Calibri" w:hAnsi="Calibri"/>
                <w:b/>
                <w:color w:val="E5484D"/>
                <w:sz w:val="22"/>
              </w:rPr>
              <w:t>−2.1%</w:t>
            </w:r>
          </w:p>
        </w:tc>
        <w:tc>
          <w:tcPr>
            <w:tcW w:type="dxa" w:w="1080"/>
          </w:tcPr>
          <w:p>
            <w:r>
              <w:rPr>
                <w:rFonts w:ascii="Calibri" w:hAnsi="Calibri"/>
                <w:sz w:val="22"/>
              </w:rPr>
              <w:t>FY2026 deployments to exceed FY2025; Megapack 3 factory launching later in 2026</w:t>
            </w:r>
          </w:p>
        </w:tc>
        <w:tc>
          <w:tcPr>
            <w:tcW w:type="dxa" w:w="1080"/>
          </w:tcPr>
          <w:p>
            <w:r>
              <w:rPr>
                <w:rFonts w:ascii="Calibri" w:hAnsi="Calibri"/>
                <w:sz w:val="22"/>
              </w:rPr>
              <w:t>No change</w:t>
            </w:r>
          </w:p>
        </w:tc>
        <w:tc>
          <w:tcPr>
            <w:tcW w:type="dxa" w:w="1080"/>
          </w:tcPr>
          <w:p>
            <w:r>
              <w:rPr>
                <w:rFonts w:ascii="Calibri" w:hAnsi="Calibri"/>
                <w:sz w:val="22"/>
              </w:rPr>
              <w:t>N/A</w:t>
            </w:r>
          </w:p>
        </w:tc>
        <w:tc>
          <w:tcPr>
            <w:tcW w:type="dxa" w:w="1080"/>
          </w:tcPr>
          <w:p>
            <w:r>
              <w:rPr>
                <w:rFonts w:ascii="Calibri" w:hAnsi="Calibri"/>
                <w:sz w:val="22"/>
              </w:rPr>
              <w:t>Reported 13.5 GWh — slightly below consensus; FY2026 consensus ~60 GWh still above FY2025 ~46 GWh</w:t>
            </w:r>
          </w:p>
        </w:tc>
      </w:tr>
    </w:tbl>
    <w:p>
      <w:r>
        <w:rPr>
          <w:rFonts w:ascii="Calibri" w:hAnsi="Calibri"/>
          <w:b/>
          <w:color w:val="525866"/>
          <w:sz w:val="22"/>
        </w:rPr>
        <w:t xml:space="preserve">Commentary: </w:t>
      </w:r>
      <w:r>
        <w:rPr>
          <w:rFonts w:ascii="Calibri" w:hAnsi="Calibri"/>
          <w:color w:val="525866"/>
          <w:sz w:val="22"/>
        </w:rPr>
        <w:t>The post-Q1 estimate revision pattern is constructive — Q2 revenue and EPS estimates are both up from the April 29 baseline, driven by the delivery beat. However, the EPS revision (+17%) is larger than the revenue revision (+8.5%), implying the Street is also crediting some margin improvement. The risk is that the margin assumption (~18.1%) proves too optimistic once Q1’s one-time items are fully stripped out. FY2026 estimates have moved modestly higher but remain below the trajectory implied by the delivery beat, suggesting analysts are waiting for the income statement confirmation before making larger upward revisions. Source: Visible Alpha Consensus and Actuals Data.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TSLA has underperformed both the S&amp;P 500 and XLY (Consumer Discretionary ETF) since the Q1 earnings date, driven by multiple compression as the market awaits income statement confirmation of the autonomous narrative. The stock’s peak-to-trough decline of ~17% from the May high reflects execution risk pricing, not a fundamental deterioration.</w:t>
      </w:r>
    </w:p>
    <w:p>
      <w:r>
        <w:rPr>
          <w:rFonts w:ascii="Calibri" w:hAnsi="Calibri"/>
          <w:color w:val="525866"/>
          <w:sz w:val="22"/>
        </w:rPr>
        <w:t xml:space="preserve">Since the Q1 2026 earnings date (April 22, 2026), TSLA has declined approximately </w:t>
      </w:r>
      <w:r>
        <w:rPr>
          <w:rFonts w:ascii="Calibri" w:hAnsi="Calibri"/>
          <w:b/>
          <w:color w:val="525866"/>
          <w:sz w:val="22"/>
        </w:rPr>
        <w:t>−2.2%</w:t>
      </w:r>
      <w:r>
        <w:rPr>
          <w:rFonts w:ascii="Calibri" w:hAnsi="Calibri"/>
          <w:color w:val="525866"/>
          <w:sz w:val="22"/>
        </w:rPr>
        <w:t xml:space="preserve"> to $378.93 (as of July 21, 2026), while the S&amp;P 500 (SPY) has gained approximately </w:t>
      </w:r>
      <w:r>
        <w:rPr>
          <w:rFonts w:ascii="Calibri" w:hAnsi="Calibri"/>
          <w:b/>
          <w:color w:val="525866"/>
          <w:sz w:val="22"/>
        </w:rPr>
        <w:t>+5.2%</w:t>
      </w:r>
      <w:r>
        <w:rPr>
          <w:rFonts w:ascii="Calibri" w:hAnsi="Calibri"/>
          <w:color w:val="525866"/>
          <w:sz w:val="22"/>
        </w:rPr>
        <w:t xml:space="preserve"> and the Consumer Discretionary ETF (XLY) has gained approximately </w:t>
      </w:r>
      <w:r>
        <w:rPr>
          <w:rFonts w:ascii="Calibri" w:hAnsi="Calibri"/>
          <w:b/>
          <w:color w:val="525866"/>
          <w:sz w:val="22"/>
        </w:rPr>
        <w:t>+3.5%</w:t>
      </w:r>
      <w:r>
        <w:rPr>
          <w:rFonts w:ascii="Calibri" w:hAnsi="Calibri"/>
          <w:color w:val="525866"/>
          <w:sz w:val="22"/>
        </w:rPr>
        <w:t>. TSLA peaked at $445 on May 11 — a +14.8% gain from the earnings date — driven by Robotaxi optimism and the delivery beat narrative, before pulling back sharply. The stock found support near $370–375 in late June/early July before recovering modestly. The underperformance vs. the market is primarily multiple compression: the autonomous narrative requires execution proof points that the income statement has not yet delivered, and the explicit negative FCF guidance for the remainder of 2026 has weighed on sentiment. The delivery beat on July 2 provided a brief bounce but was not sustained, suggesting the market is focused on margins and Robotaxi revenue rather than volume.</w:t>
      </w:r>
    </w:p>
    <w:p>
      <w:r>
        <w:rPr>
          <w:rFonts w:ascii="Calibri" w:hAnsi="Calibri"/>
          <w:i/>
          <w:color w:val="525866"/>
          <w:sz w:val="22"/>
        </w:rPr>
        <w:t xml:space="preserve">Sector ETF used: </w:t>
      </w:r>
      <w:r>
        <w:rPr>
          <w:rFonts w:ascii="Calibri" w:hAnsi="Calibri"/>
          <w:i/>
          <w:color w:val="525866"/>
          <w:sz w:val="22"/>
        </w:rPr>
        <w:t>XLY (SPDR Consumer Discretionary ETF) — appropriate given Tesla’s classification as a consumer discretionary company and its weighting as the largest or second-largest constituent. Note: some analysts prefer a pure-play EV or technology ETF given Tesla’s AI/autonomy positioning, but XLY is the most widely used benchmark for TSLA. Source: Stock Price Data (Yahoo Finance).</w:t>
      </w:r>
    </w:p>
    <w:p>
      <w:r>
        <w:rPr>
          <w:rFonts w:ascii="Calibri" w:hAnsi="Calibri"/>
          <w:b/>
          <w:color w:val="525866"/>
          <w:sz w:val="22"/>
        </w:rPr>
        <w:t>Key Events Since Q1 Earnings (April 22, 2026):</w:t>
      </w:r>
    </w:p>
    <w:p>
      <w:pPr>
        <w:pStyle w:val="ListBullet"/>
        <w:ind w:left="360" w:hanging="360"/>
      </w:pPr>
      <w:r>
        <w:rPr>
          <w:rFonts w:ascii="Calibri" w:hAnsi="Calibri"/>
          <w:b/>
          <w:color w:val="525866"/>
          <w:sz w:val="22"/>
        </w:rPr>
        <w:t>May 11, 2026:</w:t>
      </w:r>
      <w:r>
        <w:rPr>
          <w:rFonts w:ascii="Calibri" w:hAnsi="Calibri"/>
          <w:color w:val="525866"/>
          <w:sz w:val="22"/>
        </w:rPr>
        <w:t xml:space="preserve"> TSLA peaks at $445 (+14.8% from earnings date) on Robotaxi expansion optimism and delivery beat narrative.</w:t>
      </w:r>
    </w:p>
    <w:p>
      <w:pPr>
        <w:pStyle w:val="ListBullet"/>
        <w:ind w:left="360" w:hanging="360"/>
      </w:pPr>
      <w:r>
        <w:rPr>
          <w:rFonts w:ascii="Calibri" w:hAnsi="Calibri"/>
          <w:b/>
          <w:color w:val="525866"/>
          <w:sz w:val="22"/>
        </w:rPr>
        <w:t>June 5, 2026:</w:t>
      </w:r>
      <w:r>
        <w:rPr>
          <w:rFonts w:ascii="Calibri" w:hAnsi="Calibri"/>
          <w:color w:val="525866"/>
          <w:sz w:val="22"/>
        </w:rPr>
        <w:t xml:space="preserve"> Sharp pullback to $391 (−12.1% from May peak) on broader market weakness and tariff uncertainty.</w:t>
      </w:r>
    </w:p>
    <w:p>
      <w:pPr>
        <w:pStyle w:val="ListBullet"/>
        <w:ind w:left="360" w:hanging="360"/>
      </w:pPr>
      <w:r>
        <w:rPr>
          <w:rFonts w:ascii="Calibri" w:hAnsi="Calibri"/>
          <w:b/>
          <w:color w:val="525866"/>
          <w:sz w:val="22"/>
        </w:rPr>
        <w:t>July 2, 2026:</w:t>
      </w:r>
      <w:r>
        <w:rPr>
          <w:rFonts w:ascii="Calibri" w:hAnsi="Calibri"/>
          <w:color w:val="525866"/>
          <w:sz w:val="22"/>
        </w:rPr>
        <w:t xml:space="preserve"> Q2 2026 Production &amp; Deliveries press release — 480,126 vehicles delivered (beat), 13.5 GWh energy storage deployed. Stock initially rallied but gave back gains.</w:t>
      </w:r>
    </w:p>
    <w:p>
      <w:pPr>
        <w:pStyle w:val="ListBullet"/>
        <w:ind w:left="360" w:hanging="360"/>
      </w:pPr>
      <w:r>
        <w:rPr>
          <w:rFonts w:ascii="Calibri" w:hAnsi="Calibri"/>
          <w:b/>
          <w:color w:val="525866"/>
          <w:sz w:val="22"/>
        </w:rPr>
        <w:t>July 15, 2026:</w:t>
      </w:r>
      <w:r>
        <w:rPr>
          <w:rFonts w:ascii="Calibri" w:hAnsi="Calibri"/>
          <w:color w:val="525866"/>
          <w:sz w:val="22"/>
        </w:rPr>
        <w:t xml:space="preserve"> NTSB confirms Tesla driver in fatal Texas crash pressed accelerator to 100%, overriding FSD (Supervised) — data confirmed Tesla’s account; limited incremental negative impact.</w:t>
      </w:r>
    </w:p>
    <w:p>
      <w:pPr>
        <w:pStyle w:val="ListBullet"/>
        <w:ind w:left="360" w:hanging="360"/>
      </w:pPr>
      <w:r>
        <w:rPr>
          <w:rFonts w:ascii="Calibri" w:hAnsi="Calibri"/>
          <w:b/>
          <w:color w:val="525866"/>
          <w:sz w:val="22"/>
        </w:rPr>
        <w:t>July 21, 2026:</w:t>
      </w:r>
      <w:r>
        <w:rPr>
          <w:rFonts w:ascii="Calibri" w:hAnsi="Calibri"/>
          <w:color w:val="525866"/>
          <w:sz w:val="22"/>
        </w:rPr>
        <w:t xml:space="preserve"> TSLA at $378.93, down ~2.2% since Q1 earnings date; options market pricing significant earnings-day move.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July 2 delivery beat (480K units vs. ~447K consensus), which removes the volume risk heading into the print and shifts all focus to the income statement. The Robotaxi expansion to Dallas and Houston without safety monitors is the most significant strategic milestone.</w:t>
      </w:r>
    </w:p>
    <w:p>
      <w:pPr>
        <w:pStyle w:val="ListBullet"/>
        <w:ind w:left="360" w:hanging="360"/>
      </w:pPr>
      <w:r>
        <w:rPr>
          <w:rFonts w:ascii="Calibri" w:hAnsi="Calibri"/>
          <w:b/>
          <w:color w:val="525866"/>
          <w:sz w:val="22"/>
        </w:rPr>
        <w:t>July 2, 2026 — Q2 2026 Production &amp; Deliveries Beat:</w:t>
      </w:r>
      <w:r>
        <w:rPr>
          <w:rFonts w:ascii="Calibri" w:hAnsi="Calibri"/>
          <w:color w:val="525866"/>
          <w:sz w:val="22"/>
        </w:rPr>
        <w:t xml:space="preserve"> Tesla reported 480,126 deliveries (Model 3/Y: 467,762; Other Models: 12,364) and 451,758 vehicles produced. Energy storage deployments of 13.5 GWh. Deliveries beat consensus of ~447K by ~7%, the largest delivery beat in several quarters. </w:t>
      </w:r>
      <w:r>
        <w:rPr>
          <w:rFonts w:ascii="Calibri" w:hAnsi="Calibri"/>
          <w:i/>
          <w:color w:val="525866"/>
          <w:sz w:val="22"/>
        </w:rPr>
        <w:t>Implication:</w:t>
      </w:r>
      <w:r>
        <w:rPr>
          <w:rFonts w:ascii="Calibri" w:hAnsi="Calibri"/>
          <w:i/>
          <w:color w:val="525866"/>
          <w:sz w:val="22"/>
        </w:rPr>
        <w:t xml:space="preserve"> Removes volume risk; shifts debate entirely to margins and Robotaxi disclosure.</w:t>
      </w:r>
    </w:p>
    <w:p>
      <w:pPr>
        <w:pStyle w:val="ListBullet"/>
        <w:ind w:left="360" w:hanging="360"/>
      </w:pPr>
      <w:r>
        <w:rPr>
          <w:rFonts w:ascii="Calibri" w:hAnsi="Calibri"/>
          <w:b/>
          <w:color w:val="525866"/>
          <w:sz w:val="22"/>
        </w:rPr>
        <w:t>April 22, 2026 — Q1 2026 Earnings: CapEx Raised to &gt;$25B:</w:t>
      </w:r>
      <w:r>
        <w:rPr>
          <w:rFonts w:ascii="Calibri" w:hAnsi="Calibri"/>
          <w:color w:val="525866"/>
          <w:sz w:val="22"/>
        </w:rPr>
        <w:t xml:space="preserve"> Tesla raised FY2026 CapEx guidance from &gt;$20B to &gt;$25B, explicitly guided negative FCF for the remainder of 2026, and flagged ~$230M in one-time warranty true-downs and ~$250M in one-time tariff recognitions in energy. </w:t>
      </w:r>
      <w:r>
        <w:rPr>
          <w:rFonts w:ascii="Calibri" w:hAnsi="Calibri"/>
          <w:i/>
          <w:color w:val="525866"/>
          <w:sz w:val="22"/>
        </w:rPr>
        <w:t>Implication:</w:t>
      </w:r>
      <w:r>
        <w:rPr>
          <w:rFonts w:ascii="Calibri" w:hAnsi="Calibri"/>
          <w:i/>
          <w:color w:val="525866"/>
          <w:sz w:val="22"/>
        </w:rPr>
        <w:t xml:space="preserve"> Normalized margins are lower than reported; the Street must discount Q1 one-time items when modeling Q2.</w:t>
      </w:r>
    </w:p>
    <w:p>
      <w:pPr>
        <w:pStyle w:val="ListBullet"/>
        <w:ind w:left="360" w:hanging="360"/>
      </w:pPr>
      <w:r>
        <w:rPr>
          <w:rFonts w:ascii="Calibri" w:hAnsi="Calibri"/>
          <w:b/>
          <w:color w:val="525866"/>
          <w:sz w:val="22"/>
        </w:rPr>
        <w:t>April 22, 2026 — Robotaxi Expansion to Dallas and Houston:</w:t>
      </w:r>
      <w:r>
        <w:rPr>
          <w:rFonts w:ascii="Calibri" w:hAnsi="Calibri"/>
          <w:color w:val="525866"/>
          <w:sz w:val="22"/>
        </w:rPr>
        <w:t xml:space="preserve"> Tesla confirmed fully unsupervised Robotaxi operations (no safety monitors, no chase cars) in Austin, Dallas, and Houston, using the same software source as the Bay Area. Fleet growing QoQ. </w:t>
      </w:r>
      <w:r>
        <w:rPr>
          <w:rFonts w:ascii="Calibri" w:hAnsi="Calibri"/>
          <w:i/>
          <w:color w:val="525866"/>
          <w:sz w:val="22"/>
        </w:rPr>
        <w:t>Implication:</w:t>
      </w:r>
      <w:r>
        <w:rPr>
          <w:rFonts w:ascii="Calibri" w:hAnsi="Calibri"/>
          <w:i/>
          <w:color w:val="525866"/>
          <w:sz w:val="22"/>
        </w:rPr>
        <w:t xml:space="preserve"> Most significant autonomous milestone to date; management targeting ~12+ states by year-end 2026.</w:t>
      </w:r>
    </w:p>
    <w:p>
      <w:pPr>
        <w:pStyle w:val="ListBullet"/>
        <w:ind w:left="360" w:hanging="360"/>
      </w:pPr>
      <w:r>
        <w:rPr>
          <w:rFonts w:ascii="Calibri" w:hAnsi="Calibri"/>
          <w:b/>
          <w:color w:val="525866"/>
          <w:sz w:val="22"/>
        </w:rPr>
        <w:t>April 22, 2026 — Terafab / Research Chip Fab Announced:</w:t>
      </w:r>
      <w:r>
        <w:rPr>
          <w:rFonts w:ascii="Calibri" w:hAnsi="Calibri"/>
          <w:color w:val="525866"/>
          <w:sz w:val="22"/>
        </w:rPr>
        <w:t xml:space="preserve"> Tesla finalized plans for a research semiconductor fab on the Giga Texas campus (~$3B initiative, capable of a few thousand wafers/month), integrating lithography, logic, memory, and packaging. Intel’s 14A process selected. SpaceX to handle initial phase of larger-scale Terafab. </w:t>
      </w:r>
      <w:r>
        <w:rPr>
          <w:rFonts w:ascii="Calibri" w:hAnsi="Calibri"/>
          <w:i/>
          <w:color w:val="525866"/>
          <w:sz w:val="22"/>
        </w:rPr>
        <w:t>Implication:</w:t>
      </w:r>
      <w:r>
        <w:rPr>
          <w:rFonts w:ascii="Calibri" w:hAnsi="Calibri"/>
          <w:i/>
          <w:color w:val="525866"/>
          <w:sz w:val="22"/>
        </w:rPr>
        <w:t xml:space="preserve"> Vertical integration of AI chip supply chain; any intercompany arrangement requires independent director review.</w:t>
      </w:r>
    </w:p>
    <w:p>
      <w:pPr>
        <w:pStyle w:val="ListBullet"/>
        <w:ind w:left="360" w:hanging="360"/>
      </w:pPr>
      <w:r>
        <w:rPr>
          <w:rFonts w:ascii="Calibri" w:hAnsi="Calibri"/>
          <w:b/>
          <w:color w:val="525866"/>
          <w:sz w:val="22"/>
        </w:rPr>
        <w:t>April 22, 2026 — Hardware 3 Exclusion from Unsupervised FSD:</w:t>
      </w:r>
      <w:r>
        <w:rPr>
          <w:rFonts w:ascii="Calibri" w:hAnsi="Calibri"/>
          <w:color w:val="525866"/>
          <w:sz w:val="22"/>
        </w:rPr>
        <w:t xml:space="preserve"> Management confirmed Hardware 3 vehicles cannot achieve unsupervised FSD due to insufficient memory bandwidth. Tesla plans discounted trade-ins and micro-factory upgrade network in major metros. </w:t>
      </w:r>
      <w:r>
        <w:rPr>
          <w:rFonts w:ascii="Calibri" w:hAnsi="Calibri"/>
          <w:i/>
          <w:color w:val="525866"/>
          <w:sz w:val="22"/>
        </w:rPr>
        <w:t>Implication:</w:t>
      </w:r>
      <w:r>
        <w:rPr>
          <w:rFonts w:ascii="Calibri" w:hAnsi="Calibri"/>
          <w:i/>
          <w:color w:val="525866"/>
          <w:sz w:val="22"/>
        </w:rPr>
        <w:t xml:space="preserve"> Creates a large addressable upgrade market but also a potential customer relations challenge for existing FSD purchasers.</w:t>
      </w:r>
    </w:p>
    <w:p>
      <w:pPr>
        <w:pStyle w:val="ListBullet"/>
        <w:ind w:left="360" w:hanging="360"/>
      </w:pPr>
      <w:r>
        <w:rPr>
          <w:rFonts w:ascii="Calibri" w:hAnsi="Calibri"/>
          <w:b/>
          <w:color w:val="525866"/>
          <w:sz w:val="22"/>
        </w:rPr>
        <w:t>July 15, 2026 — NTSB Confirms Tesla Driver Overrode FSD in Fatal Texas Crash:</w:t>
      </w:r>
      <w:r>
        <w:rPr>
          <w:rFonts w:ascii="Calibri" w:hAnsi="Calibri"/>
          <w:color w:val="525866"/>
          <w:sz w:val="22"/>
        </w:rPr>
        <w:t xml:space="preserve"> NTSB confirmed the driver pressed the accelerator to 100%, overriding FSD (Supervised) software. Data confirmed Tesla’s account. Vehicle was traveling &gt;70 mph on a 30 mph residential street. </w:t>
      </w:r>
      <w:r>
        <w:rPr>
          <w:rFonts w:ascii="Calibri" w:hAnsi="Calibri"/>
          <w:i/>
          <w:color w:val="525866"/>
          <w:sz w:val="22"/>
        </w:rPr>
        <w:t>Implication:</w:t>
      </w:r>
      <w:r>
        <w:rPr>
          <w:rFonts w:ascii="Calibri" w:hAnsi="Calibri"/>
          <w:i/>
          <w:color w:val="525866"/>
          <w:sz w:val="22"/>
        </w:rPr>
        <w:t xml:space="preserve"> Confirms FSD was not at fault; limited incremental negative impact on autonomous narrative.</w:t>
      </w:r>
    </w:p>
    <w:p>
      <w:pPr>
        <w:pStyle w:val="ListBullet"/>
        <w:ind w:left="360" w:hanging="360"/>
      </w:pPr>
      <w:r>
        <w:rPr>
          <w:rFonts w:ascii="Calibri" w:hAnsi="Calibri"/>
          <w:b/>
          <w:color w:val="525866"/>
          <w:sz w:val="22"/>
        </w:rPr>
        <w:t>July 18–21, 2026 — Options Market Pricing Significant Earnings Move:</w:t>
      </w:r>
      <w:r>
        <w:rPr>
          <w:rFonts w:ascii="Calibri" w:hAnsi="Calibri"/>
          <w:color w:val="525866"/>
          <w:sz w:val="22"/>
        </w:rPr>
        <w:t xml:space="preserve"> Multiple news sources noted TSLA options are pricing the largest earnings-day move in approximately one year, reflecting elevated uncertainty around the margin and Robotaxi disclosure. </w:t>
      </w:r>
      <w:r>
        <w:rPr>
          <w:rFonts w:ascii="Calibri" w:hAnsi="Calibri"/>
          <w:i/>
          <w:color w:val="525866"/>
          <w:sz w:val="22"/>
        </w:rPr>
        <w:t>Implication:</w:t>
      </w:r>
      <w:r>
        <w:rPr>
          <w:rFonts w:ascii="Calibri" w:hAnsi="Calibri"/>
          <w:i/>
          <w:color w:val="525866"/>
          <w:sz w:val="22"/>
        </w:rPr>
        <w:t xml:space="preserve"> High implied volatility creates asymmetric risk/reward around the print.</w:t>
      </w:r>
    </w:p>
    <w:p>
      <w:pPr>
        <w:pStyle w:val="ListBullet"/>
        <w:ind w:left="360" w:hanging="360"/>
      </w:pPr>
      <w:r>
        <w:rPr>
          <w:rFonts w:ascii="Calibri" w:hAnsi="Calibri"/>
          <w:b/>
          <w:color w:val="525866"/>
          <w:sz w:val="22"/>
        </w:rPr>
        <w:t>July 21, 2026 — GM Q2 2026 Earnings Beat (Read-Through):</w:t>
      </w:r>
      <w:r>
        <w:rPr>
          <w:rFonts w:ascii="Calibri" w:hAnsi="Calibri"/>
          <w:color w:val="525866"/>
          <w:sz w:val="22"/>
        </w:rPr>
        <w:t xml:space="preserve"> GM reported Q2 EPS of $3.57 vs. $3.19 consensus, raised FY2026 EPS guidance midpoint to $13 from $12.50. GM noted “intense pricing competition that frankly is unsustainable” in China for autonomy. </w:t>
      </w:r>
      <w:r>
        <w:rPr>
          <w:rFonts w:ascii="Calibri" w:hAnsi="Calibri"/>
          <w:i/>
          <w:color w:val="525866"/>
          <w:sz w:val="22"/>
        </w:rPr>
        <w:t>Implication:</w:t>
      </w:r>
      <w:r>
        <w:rPr>
          <w:rFonts w:ascii="Calibri" w:hAnsi="Calibri"/>
          <w:i/>
          <w:color w:val="525866"/>
          <w:sz w:val="22"/>
        </w:rPr>
        <w:t xml:space="preserve"> Positive read-through for auto demand in North America; China pricing pressure is a relevant headwind for Tesla’s China operations.</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Only two insider transactions were disclosed in the post-Q1 window — both are 10b5-1 planned sales (pre-scheduled, not discretionary), which limits their informational value. No open-market buys were recorded. The absence of discretionary selling or buying is neutral.</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Value</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Vaibhav Taneja</w:t>
            </w:r>
          </w:p>
        </w:tc>
        <w:tc>
          <w:tcPr>
            <w:tcW w:type="dxa" w:w="1234"/>
          </w:tcPr>
          <w:p>
            <w:r>
              <w:rPr>
                <w:rFonts w:ascii="Calibri" w:hAnsi="Calibri"/>
                <w:sz w:val="22"/>
              </w:rPr>
              <w:t>Chief Financial Officer</w:t>
            </w:r>
          </w:p>
        </w:tc>
        <w:tc>
          <w:tcPr>
            <w:tcW w:type="dxa" w:w="1234"/>
          </w:tcPr>
          <w:p>
            <w:r>
              <w:rPr>
                <w:rFonts w:ascii="Calibri" w:hAnsi="Calibri"/>
                <w:sz w:val="22"/>
              </w:rPr>
              <w:t>10b5-1 Planned Sale</w:t>
            </w:r>
          </w:p>
        </w:tc>
        <w:tc>
          <w:tcPr>
            <w:tcW w:type="dxa" w:w="1234"/>
          </w:tcPr>
          <w:p>
            <w:r>
              <w:rPr>
                <w:rFonts w:ascii="Calibri" w:hAnsi="Calibri"/>
                <w:sz w:val="22"/>
              </w:rPr>
              <w:t>~2,606 shares</w:t>
            </w:r>
          </w:p>
        </w:tc>
        <w:tc>
          <w:tcPr>
            <w:tcW w:type="dxa" w:w="1234"/>
          </w:tcPr>
          <w:p>
            <w:r>
              <w:rPr>
                <w:rFonts w:ascii="Calibri" w:hAnsi="Calibri"/>
                <w:sz w:val="22"/>
              </w:rPr>
              <w:t>June 8, 2026</w:t>
            </w:r>
          </w:p>
        </w:tc>
        <w:tc>
          <w:tcPr>
            <w:tcW w:type="dxa" w:w="1234"/>
          </w:tcPr>
          <w:p>
            <w:r>
              <w:rPr>
                <w:rFonts w:ascii="Calibri" w:hAnsi="Calibri"/>
                <w:sz w:val="22"/>
              </w:rPr>
              <w:t>June 9, 2026</w:t>
            </w:r>
          </w:p>
        </w:tc>
        <w:tc>
          <w:tcPr>
            <w:tcW w:type="dxa" w:w="1234"/>
          </w:tcPr>
          <w:p>
            <w:r>
              <w:rPr>
                <w:rFonts w:ascii="Calibri" w:hAnsi="Calibri"/>
                <w:sz w:val="22"/>
              </w:rPr>
              <w:t>Pre-scheduled 10b5-1 plan; not discretionary. Retained 22,039 shares post-transaction.</w:t>
            </w:r>
          </w:p>
        </w:tc>
      </w:tr>
      <w:tr>
        <w:tc>
          <w:tcPr>
            <w:tcW w:type="dxa" w:w="1234"/>
          </w:tcPr>
          <w:p>
            <w:r>
              <w:rPr>
                <w:rFonts w:ascii="Calibri" w:hAnsi="Calibri"/>
                <w:sz w:val="22"/>
              </w:rPr>
              <w:t>Kathleen Wilson-Thompson</w:t>
            </w:r>
          </w:p>
        </w:tc>
        <w:tc>
          <w:tcPr>
            <w:tcW w:type="dxa" w:w="1234"/>
          </w:tcPr>
          <w:p>
            <w:r>
              <w:rPr>
                <w:rFonts w:ascii="Calibri" w:hAnsi="Calibri"/>
                <w:sz w:val="22"/>
              </w:rPr>
              <w:t>Director</w:t>
            </w:r>
          </w:p>
        </w:tc>
        <w:tc>
          <w:tcPr>
            <w:tcW w:type="dxa" w:w="1234"/>
          </w:tcPr>
          <w:p>
            <w:r>
              <w:rPr>
                <w:rFonts w:ascii="Calibri" w:hAnsi="Calibri"/>
                <w:sz w:val="22"/>
              </w:rPr>
              <w:t>10b5-1 Planned Sale</w:t>
            </w:r>
          </w:p>
        </w:tc>
        <w:tc>
          <w:tcPr>
            <w:tcW w:type="dxa" w:w="1234"/>
          </w:tcPr>
          <w:p>
            <w:r>
              <w:rPr>
                <w:rFonts w:ascii="Calibri" w:hAnsi="Calibri"/>
                <w:sz w:val="22"/>
              </w:rPr>
              <w:t>~26,409 shares</w:t>
            </w:r>
          </w:p>
        </w:tc>
        <w:tc>
          <w:tcPr>
            <w:tcW w:type="dxa" w:w="1234"/>
          </w:tcPr>
          <w:p>
            <w:r>
              <w:rPr>
                <w:rFonts w:ascii="Calibri" w:hAnsi="Calibri"/>
                <w:sz w:val="22"/>
              </w:rPr>
              <w:t>April 30, 2026</w:t>
            </w:r>
          </w:p>
        </w:tc>
        <w:tc>
          <w:tcPr>
            <w:tcW w:type="dxa" w:w="1234"/>
          </w:tcPr>
          <w:p>
            <w:r>
              <w:rPr>
                <w:rFonts w:ascii="Calibri" w:hAnsi="Calibri"/>
                <w:sz w:val="22"/>
              </w:rPr>
              <w:t>May 4, 2026</w:t>
            </w:r>
          </w:p>
        </w:tc>
        <w:tc>
          <w:tcPr>
            <w:tcW w:type="dxa" w:w="1234"/>
          </w:tcPr>
          <w:p>
            <w:r>
              <w:rPr>
                <w:rFonts w:ascii="Calibri" w:hAnsi="Calibri"/>
                <w:sz w:val="22"/>
              </w:rPr>
              <w:t>Pre-scheduled 10b5-1 plan; not discretionary. Retained 48,399 shares post-transaction.</w:t>
            </w:r>
          </w:p>
        </w:tc>
      </w:tr>
    </w:tbl>
    <w:p>
      <w:r>
        <w:rPr>
          <w:rFonts w:ascii="Calibri" w:hAnsi="Calibri"/>
          <w:color w:val="525866"/>
          <w:sz w:val="22"/>
        </w:rPr>
        <w:t>Both transactions are pre-scheduled 10b5-1 planned sales and carry no informational signal about management’s view of the upcoming print. No open-market buys or discretionary sales were recorded in the post-Q1 window. Source: SEC Form 4 Filings Database.</w:t>
      </w:r>
    </w:p>
    <w:p>
      <w:r>
        <w:br w:type="page"/>
      </w:r>
    </w:p>
    <w:p>
      <w:pPr>
        <w:pStyle w:val="Heading2"/>
      </w:pPr>
      <w:r>
        <w:rPr>
          <w:rFonts w:ascii="Calibri" w:hAnsi="Calibri"/>
          <w:b/>
          <w:color w:val="3B4259"/>
          <w:sz w:val="28"/>
        </w:rPr>
        <w:t>8. Peer Commentary: Current Q2 2026 Read-Throughs</w:t>
      </w:r>
    </w:p>
    <w:p>
      <w:r>
        <w:rPr>
          <w:rFonts w:ascii="Calibri" w:hAnsi="Calibri"/>
          <w:b/>
          <w:color w:val="525866"/>
          <w:sz w:val="22"/>
        </w:rPr>
        <w:t xml:space="preserve">Key Takeaway: </w:t>
      </w:r>
      <w:r>
        <w:rPr>
          <w:rFonts w:ascii="Calibri" w:hAnsi="Calibri"/>
          <w:color w:val="525866"/>
          <w:sz w:val="22"/>
        </w:rPr>
        <w:t>Three peers provide valid Q2 2026 read-throughs: XPeng and Li Auto (both reported Q1 2026 earnings in late May with explicit Q2 guidance) and GM (reported Q2 2026 earnings on July 21). The common themes are strong EV demand in the premium segment, intensifying China pricing competition, and the emergence of physical AI / Robotaxi as a competitive battleground. GM’s explicit call-out of “unsustainable” China autonomy pricing is the most directly relevant read-through for Tesla.</w:t>
      </w:r>
    </w:p>
    <w:p>
      <w:pPr>
        <w:pStyle w:val="Heading3"/>
      </w:pPr>
      <w:r>
        <w:rPr>
          <w:rFonts w:ascii="Calibri" w:hAnsi="Calibri"/>
          <w:b/>
          <w:color w:val="3B4259"/>
          <w:sz w:val="24"/>
        </w:rPr>
        <w:t>Inclusion / Exclusion Rationale</w:t>
      </w:r>
    </w:p>
    <w:p>
      <w:r>
        <w:rPr>
          <w:rFonts w:ascii="Calibri" w:hAnsi="Calibri"/>
          <w:b/>
          <w:color w:val="525866"/>
          <w:sz w:val="22"/>
        </w:rPr>
        <w:t xml:space="preserve">Filter applied: </w:t>
      </w:r>
      <w:r>
        <w:rPr>
          <w:rFonts w:ascii="Calibri" w:hAnsi="Calibri"/>
          <w:color w:val="525866"/>
          <w:sz w:val="22"/>
        </w:rPr>
        <w:t>Only commentary disclosed in the last 60 days (on or after May 22, 2026) that explicitly addresses Q2 2026 / current-quarter conditions is included. Commentary limited to a peer’s own prior-quarter results (e.g., Q1 2026 results discussion without forward-looking Q2 content) is excluded.</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Peer</w:t>
            </w:r>
          </w:p>
        </w:tc>
        <w:tc>
          <w:tcPr>
            <w:tcW w:type="dxa" w:w="2160"/>
            <w:shd w:val="clear" w:color="auto" w:fill="3B4259"/>
          </w:tcPr>
          <w:p>
            <w:r>
              <w:rPr>
                <w:rFonts w:ascii="Calibri" w:hAnsi="Calibri"/>
                <w:b/>
                <w:color w:val="FFFFFF"/>
                <w:sz w:val="22"/>
              </w:rPr>
              <w:t>Event / Date</w:t>
            </w:r>
          </w:p>
        </w:tc>
        <w:tc>
          <w:tcPr>
            <w:tcW w:type="dxa" w:w="2160"/>
            <w:shd w:val="clear" w:color="auto" w:fill="3B4259"/>
          </w:tcPr>
          <w:p>
            <w:r>
              <w:rPr>
                <w:rFonts w:ascii="Calibri" w:hAnsi="Calibri"/>
                <w:b/>
                <w:color w:val="FFFFFF"/>
                <w:sz w:val="22"/>
              </w:rPr>
              <w:t>Included?</w:t>
            </w:r>
          </w:p>
        </w:tc>
        <w:tc>
          <w:tcPr>
            <w:tcW w:type="dxa" w:w="2160"/>
            <w:shd w:val="clear" w:color="auto" w:fill="3B4259"/>
          </w:tcPr>
          <w:p>
            <w:r>
              <w:rPr>
                <w:rFonts w:ascii="Calibri" w:hAnsi="Calibri"/>
                <w:b/>
                <w:color w:val="FFFFFF"/>
                <w:sz w:val="22"/>
              </w:rPr>
              <w:t>Rationale</w:t>
            </w:r>
          </w:p>
        </w:tc>
      </w:tr>
      <w:tr>
        <w:tc>
          <w:tcPr>
            <w:tcW w:type="dxa" w:w="2160"/>
          </w:tcPr>
          <w:p>
            <w:r>
              <w:rPr>
                <w:rFonts w:ascii="Calibri" w:hAnsi="Calibri"/>
                <w:sz w:val="22"/>
              </w:rPr>
              <w:t>XPeng (XPEV)</w:t>
            </w:r>
          </w:p>
        </w:tc>
        <w:tc>
          <w:tcPr>
            <w:tcW w:type="dxa" w:w="2160"/>
          </w:tcPr>
          <w:p>
            <w:r>
              <w:rPr>
                <w:rFonts w:ascii="Calibri" w:hAnsi="Calibri"/>
                <w:sz w:val="22"/>
              </w:rPr>
              <w:t>Q1 2026 Earnings Call, May 28, 2026</w:t>
            </w:r>
          </w:p>
        </w:tc>
        <w:tc>
          <w:tcPr>
            <w:tcW w:type="dxa" w:w="2160"/>
          </w:tcPr>
          <w:p>
            <w:r>
              <w:rPr>
                <w:rFonts w:ascii="Calibri" w:hAnsi="Calibri"/>
                <w:b/>
                <w:color w:val="30A46C"/>
                <w:sz w:val="22"/>
              </w:rPr>
              <w:t>INCLUDED</w:t>
            </w:r>
          </w:p>
        </w:tc>
        <w:tc>
          <w:tcPr>
            <w:tcW w:type="dxa" w:w="2160"/>
          </w:tcPr>
          <w:p>
            <w:r>
              <w:rPr>
                <w:rFonts w:ascii="Calibri" w:hAnsi="Calibri"/>
                <w:sz w:val="22"/>
              </w:rPr>
              <w:t>Disclosed May 28 (within 60-day window); provides explicit Q2 2026 delivery guidance (100K–106K units), revenue guidance (RMB 19.6B–20.8B), and Q2 gross margin outlook (~20.6%). Directly addresses current-quarter conditions.</w:t>
            </w:r>
          </w:p>
        </w:tc>
      </w:tr>
      <w:tr>
        <w:tc>
          <w:tcPr>
            <w:tcW w:type="dxa" w:w="2160"/>
          </w:tcPr>
          <w:p>
            <w:r>
              <w:rPr>
                <w:rFonts w:ascii="Calibri" w:hAnsi="Calibri"/>
                <w:sz w:val="22"/>
              </w:rPr>
              <w:t>Li Auto (LI)</w:t>
            </w:r>
          </w:p>
        </w:tc>
        <w:tc>
          <w:tcPr>
            <w:tcW w:type="dxa" w:w="2160"/>
          </w:tcPr>
          <w:p>
            <w:r>
              <w:rPr>
                <w:rFonts w:ascii="Calibri" w:hAnsi="Calibri"/>
                <w:sz w:val="22"/>
              </w:rPr>
              <w:t>Q1 2026 Earnings Call, May 28, 2026</w:t>
            </w:r>
          </w:p>
        </w:tc>
        <w:tc>
          <w:tcPr>
            <w:tcW w:type="dxa" w:w="2160"/>
          </w:tcPr>
          <w:p>
            <w:r>
              <w:rPr>
                <w:rFonts w:ascii="Calibri" w:hAnsi="Calibri"/>
                <w:b/>
                <w:color w:val="30A46C"/>
                <w:sz w:val="22"/>
              </w:rPr>
              <w:t>INCLUDED</w:t>
            </w:r>
          </w:p>
        </w:tc>
        <w:tc>
          <w:tcPr>
            <w:tcW w:type="dxa" w:w="2160"/>
          </w:tcPr>
          <w:p>
            <w:r>
              <w:rPr>
                <w:rFonts w:ascii="Calibri" w:hAnsi="Calibri"/>
                <w:sz w:val="22"/>
              </w:rPr>
              <w:t>Disclosed May 28 (within 60-day window); provides explicit Q2 2026 delivery guidance (95K–100K units), revenue guidance (RMB 24.1B–25.4B), and Q2 gross margin recovery target (~10%). Directly addresses current-quarter conditions including China NEV demand and pricing.</w:t>
            </w:r>
          </w:p>
        </w:tc>
      </w:tr>
      <w:tr>
        <w:tc>
          <w:tcPr>
            <w:tcW w:type="dxa" w:w="2160"/>
          </w:tcPr>
          <w:p>
            <w:r>
              <w:rPr>
                <w:rFonts w:ascii="Calibri" w:hAnsi="Calibri"/>
                <w:sz w:val="22"/>
              </w:rPr>
              <w:t>General Motors (GM)</w:t>
            </w:r>
          </w:p>
        </w:tc>
        <w:tc>
          <w:tcPr>
            <w:tcW w:type="dxa" w:w="2160"/>
          </w:tcPr>
          <w:p>
            <w:r>
              <w:rPr>
                <w:rFonts w:ascii="Calibri" w:hAnsi="Calibri"/>
                <w:sz w:val="22"/>
              </w:rPr>
              <w:t>Q2 2026 Earnings Call, July 21, 2026</w:t>
            </w:r>
          </w:p>
        </w:tc>
        <w:tc>
          <w:tcPr>
            <w:tcW w:type="dxa" w:w="2160"/>
          </w:tcPr>
          <w:p>
            <w:r>
              <w:rPr>
                <w:rFonts w:ascii="Calibri" w:hAnsi="Calibri"/>
                <w:b/>
                <w:color w:val="30A46C"/>
                <w:sz w:val="22"/>
              </w:rPr>
              <w:t>INCLUDED</w:t>
            </w:r>
          </w:p>
        </w:tc>
        <w:tc>
          <w:tcPr>
            <w:tcW w:type="dxa" w:w="2160"/>
          </w:tcPr>
          <w:p>
            <w:r>
              <w:rPr>
                <w:rFonts w:ascii="Calibri" w:hAnsi="Calibri"/>
                <w:sz w:val="22"/>
              </w:rPr>
              <w:t>Disclosed July 21 (within 60-day window); reports on Q2 2026 actual results and provides forward guidance. Directly addresses Q2 2026 EV market conditions, China pricing competition, tariff impacts, and autonomy pricing power.</w:t>
            </w:r>
          </w:p>
        </w:tc>
      </w:tr>
      <w:tr>
        <w:tc>
          <w:tcPr>
            <w:tcW w:type="dxa" w:w="2160"/>
          </w:tcPr>
          <w:p>
            <w:r>
              <w:rPr>
                <w:rFonts w:ascii="Calibri" w:hAnsi="Calibri"/>
                <w:sz w:val="22"/>
              </w:rPr>
              <w:t>Lucid Group (LCID)</w:t>
            </w:r>
          </w:p>
        </w:tc>
        <w:tc>
          <w:tcPr>
            <w:tcW w:type="dxa" w:w="2160"/>
          </w:tcPr>
          <w:p>
            <w:r>
              <w:rPr>
                <w:rFonts w:ascii="Calibri" w:hAnsi="Calibri"/>
                <w:sz w:val="22"/>
              </w:rPr>
              <w:t>Q2 2026 Production &amp; Deliveries, July 2, 2026</w:t>
            </w:r>
          </w:p>
        </w:tc>
        <w:tc>
          <w:tcPr>
            <w:tcW w:type="dxa" w:w="2160"/>
          </w:tcPr>
          <w:p>
            <w:r>
              <w:rPr>
                <w:rFonts w:ascii="Calibri" w:hAnsi="Calibri"/>
                <w:b/>
                <w:color w:val="E5484D"/>
                <w:sz w:val="22"/>
              </w:rPr>
              <w:t>EXCLUDED</w:t>
            </w:r>
          </w:p>
        </w:tc>
        <w:tc>
          <w:tcPr>
            <w:tcW w:type="dxa" w:w="2160"/>
          </w:tcPr>
          <w:p>
            <w:r>
              <w:rPr>
                <w:rFonts w:ascii="Calibri" w:hAnsi="Calibri"/>
                <w:sz w:val="22"/>
              </w:rPr>
              <w:t>Lucid operates at a fundamentally different scale (4,774 produced, 3,953 delivered in Q2 2026) and is in financial distress (restructuring advisors engaged July 14). Commentary is company-specific and not representative of broader EV market conditions relevant to Tesla.</w:t>
            </w:r>
          </w:p>
        </w:tc>
      </w:tr>
      <w:tr>
        <w:tc>
          <w:tcPr>
            <w:tcW w:type="dxa" w:w="2160"/>
          </w:tcPr>
          <w:p>
            <w:r>
              <w:rPr>
                <w:rFonts w:ascii="Calibri" w:hAnsi="Calibri"/>
                <w:sz w:val="22"/>
              </w:rPr>
              <w:t>Rivian (RIVN)</w:t>
            </w:r>
          </w:p>
        </w:tc>
        <w:tc>
          <w:tcPr>
            <w:tcW w:type="dxa" w:w="2160"/>
          </w:tcPr>
          <w:p>
            <w:r>
              <w:rPr>
                <w:rFonts w:ascii="Calibri" w:hAnsi="Calibri"/>
                <w:sz w:val="22"/>
              </w:rPr>
              <w:t>Q2 2026 Revenue Pre-Announcement, July 7, 2026</w:t>
            </w:r>
          </w:p>
        </w:tc>
        <w:tc>
          <w:tcPr>
            <w:tcW w:type="dxa" w:w="2160"/>
          </w:tcPr>
          <w:p>
            <w:r>
              <w:rPr>
                <w:rFonts w:ascii="Calibri" w:hAnsi="Calibri"/>
                <w:b/>
                <w:color w:val="E5484D"/>
                <w:sz w:val="22"/>
              </w:rPr>
              <w:t>EXCLUDED</w:t>
            </w:r>
          </w:p>
        </w:tc>
        <w:tc>
          <w:tcPr>
            <w:tcW w:type="dxa" w:w="2160"/>
          </w:tcPr>
          <w:p>
            <w:r>
              <w:rPr>
                <w:rFonts w:ascii="Calibri" w:hAnsi="Calibri"/>
                <w:sz w:val="22"/>
              </w:rPr>
              <w:t>Rivian’s Q2 revenue pre-announcement ($1.6B) and secondary offering are company-specific capital structure events. Rivian’s market segment (commercial/adventure EVs) and scale are not directly comparable to Tesla’s mass-market and premium EV business.</w:t>
            </w:r>
          </w:p>
        </w:tc>
      </w:tr>
    </w:tbl>
    <w:p>
      <w:pPr>
        <w:pStyle w:val="Heading3"/>
      </w:pPr>
      <w:r>
        <w:rPr>
          <w:rFonts w:ascii="Calibri" w:hAnsi="Calibri"/>
          <w:b/>
          <w:color w:val="3B4259"/>
          <w:sz w:val="24"/>
        </w:rPr>
        <w:t>Peer 1: XPeng (XPEV) — Q1 2026 Earnings Call, May 28, 2026</w:t>
      </w:r>
    </w:p>
    <w:p>
      <w:r>
        <w:rPr>
          <w:rFonts w:ascii="Calibri" w:hAnsi="Calibri"/>
          <w:i/>
          <w:color w:val="525866"/>
          <w:sz w:val="22"/>
        </w:rPr>
        <w:t>Disclosure date: May 28, 2026 (Q1 2026 earnings call). Effective period: Q2 2026 guidance and current-quarter conditions.</w:t>
      </w:r>
    </w:p>
    <w:p>
      <w:r>
        <w:rPr>
          <w:rFonts w:ascii="Calibri" w:hAnsi="Calibri"/>
          <w:b/>
          <w:color w:val="525866"/>
          <w:sz w:val="22"/>
        </w:rPr>
        <w:t xml:space="preserve">Q2 2026 Delivery &amp; Revenue Guidance: </w:t>
      </w:r>
      <w:r>
        <w:rPr>
          <w:rFonts w:ascii="Calibri" w:hAnsi="Calibri"/>
          <w:color w:val="525866"/>
          <w:sz w:val="22"/>
        </w:rPr>
        <w:t>XPeng guided Q2 2026 deliveries of 100,000–106,000 units (+59.5% to +69.1% QoQ) and revenue of RMB 19.6B–20.8B (+50.4% to +59.6% QoQ). CEO He Xiaopeng stated: “I’m very confident that deliveries will grow substantially quarter-over-quarter in each of the remaining quarters this year.” The GX flagship model, launched May 20, has lead times exceeding 30 weeks for the BEV version, with the ultra trim (priced above RMB 350,000) accounting for over 80% of initial orders.</w:t>
      </w:r>
    </w:p>
    <w:p>
      <w:r>
        <w:rPr>
          <w:rFonts w:ascii="Calibri" w:hAnsi="Calibri"/>
          <w:b/>
          <w:color w:val="525866"/>
          <w:sz w:val="22"/>
        </w:rPr>
        <w:t xml:space="preserve">Gross Margin Outlook: </w:t>
      </w:r>
      <w:r>
        <w:rPr>
          <w:rFonts w:ascii="Calibri" w:hAnsi="Calibri"/>
          <w:color w:val="525866"/>
          <w:sz w:val="22"/>
        </w:rPr>
        <w:t xml:space="preserve">XPeng guided Q2 total gross margin to be “around the same level as Q1” (~20.6%), despite headwinds from higher memory chip and battery-related costs. The GX has the highest gross profit in XPeng’s portfolio, partially offsetting cost pressures. </w:t>
      </w:r>
      <w:r>
        <w:rPr>
          <w:rFonts w:ascii="Calibri" w:hAnsi="Calibri"/>
          <w:i/>
          <w:color w:val="525866"/>
          <w:sz w:val="22"/>
        </w:rPr>
        <w:t xml:space="preserve">Tesla read-through: </w:t>
      </w:r>
      <w:r>
        <w:rPr>
          <w:rFonts w:ascii="Calibri" w:hAnsi="Calibri"/>
          <w:i/>
          <w:color w:val="525866"/>
          <w:sz w:val="22"/>
        </w:rPr>
        <w:t>Premium EV demand in China remains robust at high price points; willingness to pay for advanced AI/autonomy features is strong. Memory chip cost inflation is a shared headwind for both companies.</w:t>
      </w:r>
    </w:p>
    <w:p>
      <w:r>
        <w:rPr>
          <w:rFonts w:ascii="Calibri" w:hAnsi="Calibri"/>
          <w:b/>
          <w:color w:val="525866"/>
          <w:sz w:val="22"/>
        </w:rPr>
        <w:t xml:space="preserve">Physical AI / Robotaxi: </w:t>
      </w:r>
      <w:r>
        <w:rPr>
          <w:rFonts w:ascii="Calibri" w:hAnsi="Calibri"/>
          <w:color w:val="525866"/>
          <w:sz w:val="22"/>
        </w:rPr>
        <w:t xml:space="preserve">XPeng formally renamed itself “XPeng Group” to reflect its transformation into a “physical AI company.” Robotaxi pilot passenger operations in Guangzhou targeted for Q3 2026. Humanoid robot IRON targeted for mass production by year-end. </w:t>
      </w:r>
      <w:r>
        <w:rPr>
          <w:rFonts w:ascii="Calibri" w:hAnsi="Calibri"/>
          <w:i/>
          <w:color w:val="525866"/>
          <w:sz w:val="22"/>
        </w:rPr>
        <w:t xml:space="preserve">Tesla read-through: </w:t>
      </w:r>
      <w:r>
        <w:rPr>
          <w:rFonts w:ascii="Calibri" w:hAnsi="Calibri"/>
          <w:i/>
          <w:color w:val="525866"/>
          <w:sz w:val="22"/>
        </w:rPr>
        <w:t>The physical AI / Robotaxi competitive landscape is intensifying in China; XPeng’s goal is to “match the performance of Tesla’s FSD v14 in the United States in the second half of this year.” This validates Tesla’s autonomous lead but signals the competitive gap is narrowing.</w:t>
      </w:r>
    </w:p>
    <w:p>
      <w:r>
        <w:rPr>
          <w:rFonts w:ascii="Calibri" w:hAnsi="Calibri"/>
          <w:b/>
          <w:color w:val="525866"/>
          <w:sz w:val="22"/>
        </w:rPr>
        <w:t xml:space="preserve">International Expansion: </w:t>
      </w:r>
      <w:r>
        <w:rPr>
          <w:rFonts w:ascii="Calibri" w:hAnsi="Calibri"/>
          <w:color w:val="525866"/>
          <w:sz w:val="22"/>
        </w:rPr>
        <w:t xml:space="preserve">International revenue expected to exceed 20% of total revenue starting in Q2 2026; monthly overseas deliveries surpassed 6,000 units in April for the first time. XPeng unveiled the L03 SUV in Munich on July 18 (starting at €35,600 in Germany). </w:t>
      </w:r>
      <w:r>
        <w:rPr>
          <w:rFonts w:ascii="Calibri" w:hAnsi="Calibri"/>
          <w:i/>
          <w:color w:val="525866"/>
          <w:sz w:val="22"/>
        </w:rPr>
        <w:t xml:space="preserve">Tesla read-through: </w:t>
      </w:r>
      <w:r>
        <w:rPr>
          <w:rFonts w:ascii="Calibri" w:hAnsi="Calibri"/>
          <w:i/>
          <w:color w:val="525866"/>
          <w:sz w:val="22"/>
        </w:rPr>
        <w:t>Chinese EV makers are accelerating European expansion, increasing competitive pressure on Tesla’s European market share.</w:t>
      </w:r>
    </w:p>
    <w:p>
      <w:pPr>
        <w:pStyle w:val="Heading3"/>
      </w:pPr>
      <w:r>
        <w:rPr>
          <w:rFonts w:ascii="Calibri" w:hAnsi="Calibri"/>
          <w:b/>
          <w:color w:val="3B4259"/>
          <w:sz w:val="24"/>
        </w:rPr>
        <w:t>Peer 2: Li Auto (LI) — Q1 2026 Earnings Call, May 28, 2026</w:t>
      </w:r>
    </w:p>
    <w:p>
      <w:r>
        <w:rPr>
          <w:rFonts w:ascii="Calibri" w:hAnsi="Calibri"/>
          <w:i/>
          <w:color w:val="525866"/>
          <w:sz w:val="22"/>
        </w:rPr>
        <w:t>Disclosure date: May 28, 2026 (Q1 2026 earnings call). Effective period: Q2 2026 guidance and current-quarter conditions.</w:t>
      </w:r>
    </w:p>
    <w:p>
      <w:r>
        <w:rPr>
          <w:rFonts w:ascii="Calibri" w:hAnsi="Calibri"/>
          <w:b/>
          <w:color w:val="525866"/>
          <w:sz w:val="22"/>
        </w:rPr>
        <w:t xml:space="preserve">Q2 2026 Delivery &amp; Revenue Guidance: </w:t>
      </w:r>
      <w:r>
        <w:rPr>
          <w:rFonts w:ascii="Calibri" w:hAnsi="Calibri"/>
          <w:color w:val="525866"/>
          <w:sz w:val="22"/>
        </w:rPr>
        <w:t>Li Auto guided Q2 2026 deliveries of 95,000–100,000 units and revenue of RMB 24.1B–25.4B. The company returned to the top position in sales among Chinese brands in the NEV market priced at RMB 200,000 and above (January–April). The all-new Li L9 (launched May 15) secured over 10,000 orders within two weeks, with the Livis variant (RMB 509,800) accounting for over 90% of orders.</w:t>
      </w:r>
    </w:p>
    <w:p>
      <w:r>
        <w:rPr>
          <w:rFonts w:ascii="Calibri" w:hAnsi="Calibri"/>
          <w:b/>
          <w:color w:val="525866"/>
          <w:sz w:val="22"/>
        </w:rPr>
        <w:t xml:space="preserve">Gross Margin Recovery: </w:t>
      </w:r>
      <w:r>
        <w:rPr>
          <w:rFonts w:ascii="Calibri" w:hAnsi="Calibri"/>
          <w:color w:val="525866"/>
          <w:sz w:val="22"/>
        </w:rPr>
        <w:t xml:space="preserve">CFO Johnny Tie Li guided Q2 gross margin to recover to approximately 10% (from a depressed Q1 level), driven by the L9 launch and product mix optimization. Full-year gross margin expected to continue improving as the model refresh cycle completes. </w:t>
      </w:r>
      <w:r>
        <w:rPr>
          <w:rFonts w:ascii="Calibri" w:hAnsi="Calibri"/>
          <w:i/>
          <w:color w:val="525866"/>
          <w:sz w:val="22"/>
        </w:rPr>
        <w:t xml:space="preserve">Tesla read-through: </w:t>
      </w:r>
      <w:r>
        <w:rPr>
          <w:rFonts w:ascii="Calibri" w:hAnsi="Calibri"/>
          <w:i/>
          <w:color w:val="525866"/>
          <w:sz w:val="22"/>
        </w:rPr>
        <w:t>Premium Chinese EV buyers are demonstrating strong willingness to pay for advanced features (90%+ of L9 orders at the highest trim), which is consistent with Tesla’s FSD monetization thesis. Li Auto’s margin recovery trajectory also suggests that product cycle timing is a key driver of EV profitability.</w:t>
      </w:r>
    </w:p>
    <w:p>
      <w:r>
        <w:rPr>
          <w:rFonts w:ascii="Calibri" w:hAnsi="Calibri"/>
          <w:b/>
          <w:color w:val="525866"/>
          <w:sz w:val="22"/>
        </w:rPr>
        <w:t xml:space="preserve">China NEV Market Dynamics: </w:t>
      </w:r>
      <w:r>
        <w:rPr>
          <w:rFonts w:ascii="Calibri" w:hAnsi="Calibri"/>
          <w:color w:val="525866"/>
          <w:sz w:val="22"/>
        </w:rPr>
        <w:t xml:space="preserve">Li Auto maintained its full-year sales growth target of 20%. The company is entering the Middle East and Central Asia market in Q3 2026 and gradually entering Southeast Asian markets. The all-electric Li i6 will be introduced in Europe in H2 2026. </w:t>
      </w:r>
      <w:r>
        <w:rPr>
          <w:rFonts w:ascii="Calibri" w:hAnsi="Calibri"/>
          <w:i/>
          <w:color w:val="525866"/>
          <w:sz w:val="22"/>
        </w:rPr>
        <w:t xml:space="preserve">Tesla read-through: </w:t>
      </w:r>
      <w:r>
        <w:rPr>
          <w:rFonts w:ascii="Calibri" w:hAnsi="Calibri"/>
          <w:i/>
          <w:color w:val="525866"/>
          <w:sz w:val="22"/>
        </w:rPr>
        <w:t>The premium China NEV market (RMB 200K+) remains healthy and growing, which is positive for Tesla’s Model S/X and higher-end Model Y positioning in China. The geographic expansion of Chinese EV brands into the Middle East and Europe is a medium-term competitive threat.</w:t>
      </w:r>
    </w:p>
    <w:p>
      <w:r>
        <w:rPr>
          <w:rFonts w:ascii="Calibri" w:hAnsi="Calibri"/>
          <w:b/>
          <w:color w:val="525866"/>
          <w:sz w:val="22"/>
        </w:rPr>
        <w:t xml:space="preserve">AI Competition: </w:t>
      </w:r>
      <w:r>
        <w:rPr>
          <w:rFonts w:ascii="Calibri" w:hAnsi="Calibri"/>
          <w:color w:val="525866"/>
          <w:sz w:val="22"/>
        </w:rPr>
        <w:t xml:space="preserve">Li Auto’s goal is to “match the performance of Tesla’s FSD v14 in the United States in the second half of this year” using its proprietary MAHE M100 chip (5nm automotive-grade AI inference chip). Management views the next 3–5 years as a “competition of embodied AI.” </w:t>
      </w:r>
      <w:r>
        <w:rPr>
          <w:rFonts w:ascii="Calibri" w:hAnsi="Calibri"/>
          <w:i/>
          <w:color w:val="525866"/>
          <w:sz w:val="22"/>
        </w:rPr>
        <w:t xml:space="preserve">Tesla read-through: </w:t>
      </w:r>
      <w:r>
        <w:rPr>
          <w:rFonts w:ascii="Calibri" w:hAnsi="Calibri"/>
          <w:i/>
          <w:color w:val="525866"/>
          <w:sz w:val="22"/>
        </w:rPr>
        <w:t>Tesla’s FSD lead is being explicitly targeted by Chinese peers; the competitive moat is real but narrowing. This validates the strategic importance of Tesla’s AI chip vertical integration (Terafab) and the urgency of the FSD v15 / AI4 upgrade cycle.</w:t>
      </w:r>
    </w:p>
    <w:p>
      <w:pPr>
        <w:pStyle w:val="Heading3"/>
      </w:pPr>
      <w:r>
        <w:rPr>
          <w:rFonts w:ascii="Calibri" w:hAnsi="Calibri"/>
          <w:b/>
          <w:color w:val="3B4259"/>
          <w:sz w:val="24"/>
        </w:rPr>
        <w:t>Peer 3: General Motors (GM) — Q2 2026 Earnings Call, July 21, 2026</w:t>
      </w:r>
    </w:p>
    <w:p>
      <w:r>
        <w:rPr>
          <w:rFonts w:ascii="Calibri" w:hAnsi="Calibri"/>
          <w:i/>
          <w:color w:val="525866"/>
          <w:sz w:val="22"/>
        </w:rPr>
        <w:t>Disclosure date: July 21, 2026 (Q2 2026 earnings call). Effective period: Q2 2026 actual results and H2 2026 outlook.</w:t>
      </w:r>
    </w:p>
    <w:p>
      <w:r>
        <w:rPr>
          <w:rFonts w:ascii="Calibri" w:hAnsi="Calibri"/>
          <w:b/>
          <w:color w:val="525866"/>
          <w:sz w:val="22"/>
        </w:rPr>
        <w:t xml:space="preserve">Q2 2026 Results &amp; Raised Guidance: </w:t>
      </w:r>
      <w:r>
        <w:rPr>
          <w:rFonts w:ascii="Calibri" w:hAnsi="Calibri"/>
          <w:color w:val="525866"/>
          <w:sz w:val="22"/>
        </w:rPr>
        <w:t xml:space="preserve">GM reported Q2 EPS of $3.57 vs. $3.19 consensus and revenue of $48B vs. $46.6B expected. The company raised FY2026 EPS guidance midpoint to $13 from $12.50, driven by strong pricing on full-size trucks and SUVs (average vehicle selling price of $52,000), lower warranty costs, and EV loss improvement. </w:t>
      </w:r>
      <w:r>
        <w:rPr>
          <w:rFonts w:ascii="Calibri" w:hAnsi="Calibri"/>
          <w:i/>
          <w:color w:val="525866"/>
          <w:sz w:val="22"/>
        </w:rPr>
        <w:t xml:space="preserve">Tesla read-through: </w:t>
      </w:r>
      <w:r>
        <w:rPr>
          <w:rFonts w:ascii="Calibri" w:hAnsi="Calibri"/>
          <w:i/>
          <w:color w:val="525866"/>
          <w:sz w:val="22"/>
        </w:rPr>
        <w:t>Positive read-through for North American auto demand and pricing discipline; the premium vehicle segment is holding up well despite macro uncertainty.</w:t>
      </w:r>
    </w:p>
    <w:p>
      <w:r>
        <w:rPr>
          <w:rFonts w:ascii="Calibri" w:hAnsi="Calibri"/>
          <w:b/>
          <w:color w:val="525866"/>
          <w:sz w:val="22"/>
        </w:rPr>
        <w:t xml:space="preserve">EV Market Conditions: </w:t>
      </w:r>
      <w:r>
        <w:rPr>
          <w:rFonts w:ascii="Calibri" w:hAnsi="Calibri"/>
          <w:color w:val="525866"/>
          <w:sz w:val="22"/>
        </w:rPr>
        <w:t xml:space="preserve">GM noted a “smaller EV market following reductions in consumer incentives” in H1 2026, contributing to a 60 bps market share decline. GM expects EV wholesale volumes to be “up slightly in the second half as we resume building to demand.” GM recorded $2.3B in incremental EV-related restructuring charges in Q2 2026 and $10.9B in total EV charges since H2 2025. </w:t>
      </w:r>
      <w:r>
        <w:rPr>
          <w:rFonts w:ascii="Calibri" w:hAnsi="Calibri"/>
          <w:i/>
          <w:color w:val="525866"/>
          <w:sz w:val="22"/>
        </w:rPr>
        <w:t xml:space="preserve">Tesla read-through: </w:t>
      </w:r>
      <w:r>
        <w:rPr>
          <w:rFonts w:ascii="Calibri" w:hAnsi="Calibri"/>
          <w:i/>
          <w:color w:val="525866"/>
          <w:sz w:val="22"/>
        </w:rPr>
        <w:t>The broader U.S. EV market is softer following the reduction in consumer incentives, which is a headwind for Tesla’s volume growth. However, Tesla’s direct-to-consumer model and FSD differentiation may insulate it from the incentive-driven demand softness that is affecting legacy OEMs.</w:t>
      </w:r>
    </w:p>
    <w:p>
      <w:r>
        <w:rPr>
          <w:rFonts w:ascii="Calibri" w:hAnsi="Calibri"/>
          <w:b/>
          <w:color w:val="525866"/>
          <w:sz w:val="22"/>
        </w:rPr>
        <w:t xml:space="preserve">China Pricing Competition — Most Relevant Read-Through: </w:t>
      </w:r>
      <w:r>
        <w:rPr>
          <w:rFonts w:ascii="Calibri" w:hAnsi="Calibri"/>
          <w:color w:val="525866"/>
          <w:sz w:val="22"/>
        </w:rPr>
        <w:t>GM CEO Mary Barra stated explicitly: “</w:t>
      </w:r>
      <w:r>
        <w:rPr>
          <w:rFonts w:ascii="Calibri" w:hAnsi="Calibri"/>
          <w:b/>
          <w:color w:val="525866"/>
          <w:sz w:val="22"/>
        </w:rPr>
        <w:t>There’s intense pricing competition that frankly is unsustainable”</w:t>
      </w:r>
      <w:r>
        <w:rPr>
          <w:rFonts w:ascii="Calibri" w:hAnsi="Calibri"/>
          <w:color w:val="525866"/>
          <w:sz w:val="22"/>
        </w:rPr>
        <w:t xml:space="preserve"> in China for autonomy offerings. In contrast, for the U.S. market, she stated: “I do believe there’ll be pricing power” for autonomy. </w:t>
      </w:r>
      <w:r>
        <w:rPr>
          <w:rFonts w:ascii="Calibri" w:hAnsi="Calibri"/>
          <w:i/>
          <w:color w:val="525866"/>
          <w:sz w:val="22"/>
        </w:rPr>
        <w:t xml:space="preserve">Tesla read-through: </w:t>
      </w:r>
      <w:r>
        <w:rPr>
          <w:rFonts w:ascii="Calibri" w:hAnsi="Calibri"/>
          <w:i/>
          <w:color w:val="525866"/>
          <w:sz w:val="22"/>
        </w:rPr>
        <w:t>This is the most directly relevant read-through for Tesla. China autonomy pricing is under severe pressure, which could compress Tesla’s FSD monetization in China. Conversely, the U.S. autonomy pricing power thesis is validated by a major OEM CEO, supporting Tesla’s Robotaxi revenue narrative for the domestic market.</w:t>
      </w:r>
    </w:p>
    <w:p>
      <w:r>
        <w:rPr>
          <w:rFonts w:ascii="Calibri" w:hAnsi="Calibri"/>
          <w:b/>
          <w:color w:val="525866"/>
          <w:sz w:val="22"/>
        </w:rPr>
        <w:t xml:space="preserve">Tariff Impacts: </w:t>
      </w:r>
      <w:r>
        <w:rPr>
          <w:rFonts w:ascii="Calibri" w:hAnsi="Calibri"/>
          <w:color w:val="525866"/>
          <w:sz w:val="22"/>
        </w:rPr>
        <w:t xml:space="preserve">GM incurred approximately $1.3B in tariffs in H1 2026 (net of a $500M Q1 benefit), with gross tariff costs of $2.5B–$3.5B expected for the full year. GM is onshoring manufacturing starting next year to reduce tariff exposure. </w:t>
      </w:r>
      <w:r>
        <w:rPr>
          <w:rFonts w:ascii="Calibri" w:hAnsi="Calibri"/>
          <w:i/>
          <w:color w:val="525866"/>
          <w:sz w:val="22"/>
        </w:rPr>
        <w:t xml:space="preserve">Tesla read-through: </w:t>
      </w:r>
      <w:r>
        <w:rPr>
          <w:rFonts w:ascii="Calibri" w:hAnsi="Calibri"/>
          <w:i/>
          <w:color w:val="525866"/>
          <w:sz w:val="22"/>
        </w:rPr>
        <w:t>Tariff headwinds are real and ongoing for the auto sector. Tesla’s Q1 2026 results included ~$250M in one-time tariff recognitions in energy (favorable), but the underlying tariff exposure on battery cells procured from China remains a headwind for energy margins in Q2 and beyond.</w:t>
      </w:r>
    </w:p>
    <w:p>
      <w:r>
        <w:rPr>
          <w:rFonts w:ascii="Calibri" w:hAnsi="Calibri"/>
          <w:b/>
          <w:color w:val="525866"/>
          <w:sz w:val="22"/>
        </w:rPr>
        <w:t xml:space="preserve">Battery Technology: </w:t>
      </w:r>
      <w:r>
        <w:rPr>
          <w:rFonts w:ascii="Calibri" w:hAnsi="Calibri"/>
          <w:color w:val="525866"/>
          <w:sz w:val="22"/>
        </w:rPr>
        <w:t xml:space="preserve">GM announced a partnership with Peak Energy for sodium ion battery storage technology, targeting stationary storage applications with potential future vehicle use. GM expects to be building production-validated cells in 2027–2028. </w:t>
      </w:r>
      <w:r>
        <w:rPr>
          <w:rFonts w:ascii="Calibri" w:hAnsi="Calibri"/>
          <w:i/>
          <w:color w:val="525866"/>
          <w:sz w:val="22"/>
        </w:rPr>
        <w:t xml:space="preserve">Tesla read-through: </w:t>
      </w:r>
      <w:r>
        <w:rPr>
          <w:rFonts w:ascii="Calibri" w:hAnsi="Calibri"/>
          <w:i/>
          <w:color w:val="525866"/>
          <w:sz w:val="22"/>
        </w:rPr>
        <w:t>Sodium ion battery development is a longer-term competitive dynamic; Tesla’s Megapack business faces potential future competition from GM’s stationary storage ambitions, though the timeline is several years out.</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Theme</w:t>
            </w:r>
          </w:p>
        </w:tc>
        <w:tc>
          <w:tcPr>
            <w:tcW w:type="dxa" w:w="1728"/>
            <w:shd w:val="clear" w:color="auto" w:fill="3B4259"/>
          </w:tcPr>
          <w:p>
            <w:r>
              <w:rPr>
                <w:rFonts w:ascii="Calibri" w:hAnsi="Calibri"/>
                <w:b/>
                <w:color w:val="FFFFFF"/>
                <w:sz w:val="22"/>
              </w:rPr>
              <w:t>XPeng (May 28)</w:t>
            </w:r>
          </w:p>
        </w:tc>
        <w:tc>
          <w:tcPr>
            <w:tcW w:type="dxa" w:w="1728"/>
            <w:shd w:val="clear" w:color="auto" w:fill="3B4259"/>
          </w:tcPr>
          <w:p>
            <w:r>
              <w:rPr>
                <w:rFonts w:ascii="Calibri" w:hAnsi="Calibri"/>
                <w:b/>
                <w:color w:val="FFFFFF"/>
                <w:sz w:val="22"/>
              </w:rPr>
              <w:t>Li Auto (May 28)</w:t>
            </w:r>
          </w:p>
        </w:tc>
        <w:tc>
          <w:tcPr>
            <w:tcW w:type="dxa" w:w="1728"/>
            <w:shd w:val="clear" w:color="auto" w:fill="3B4259"/>
          </w:tcPr>
          <w:p>
            <w:r>
              <w:rPr>
                <w:rFonts w:ascii="Calibri" w:hAnsi="Calibri"/>
                <w:b/>
                <w:color w:val="FFFFFF"/>
                <w:sz w:val="22"/>
              </w:rPr>
              <w:t>GM (July 21)</w:t>
            </w:r>
          </w:p>
        </w:tc>
        <w:tc>
          <w:tcPr>
            <w:tcW w:type="dxa" w:w="1728"/>
            <w:shd w:val="clear" w:color="auto" w:fill="3B4259"/>
          </w:tcPr>
          <w:p>
            <w:r>
              <w:rPr>
                <w:rFonts w:ascii="Calibri" w:hAnsi="Calibri"/>
                <w:b/>
                <w:color w:val="FFFFFF"/>
                <w:sz w:val="22"/>
              </w:rPr>
              <w:t>Net Read-Through for TSLA Q2</w:t>
            </w:r>
          </w:p>
        </w:tc>
      </w:tr>
      <w:tr>
        <w:tc>
          <w:tcPr>
            <w:tcW w:type="dxa" w:w="1728"/>
          </w:tcPr>
          <w:p>
            <w:r>
              <w:rPr>
                <w:rFonts w:ascii="Calibri" w:hAnsi="Calibri"/>
                <w:sz w:val="22"/>
              </w:rPr>
              <w:t>Premium EV Demand (China)</w:t>
            </w:r>
          </w:p>
        </w:tc>
        <w:tc>
          <w:tcPr>
            <w:tcW w:type="dxa" w:w="1728"/>
          </w:tcPr>
          <w:p>
            <w:r>
              <w:rPr>
                <w:rFonts w:ascii="Calibri" w:hAnsi="Calibri"/>
                <w:b/>
                <w:color w:val="30A46C"/>
                <w:sz w:val="22"/>
              </w:rPr>
              <w:t>Strong; GX ultra trim &gt;80% of orders at RMB 350K+</w:t>
            </w:r>
          </w:p>
        </w:tc>
        <w:tc>
          <w:tcPr>
            <w:tcW w:type="dxa" w:w="1728"/>
          </w:tcPr>
          <w:p>
            <w:r>
              <w:rPr>
                <w:rFonts w:ascii="Calibri" w:hAnsi="Calibri"/>
                <w:b/>
                <w:color w:val="30A46C"/>
                <w:sz w:val="22"/>
              </w:rPr>
              <w:t>Strong; L9 Livis 90%+ of orders at RMB 509K</w:t>
            </w:r>
          </w:p>
        </w:tc>
        <w:tc>
          <w:tcPr>
            <w:tcW w:type="dxa" w:w="1728"/>
          </w:tcPr>
          <w:p>
            <w:r>
              <w:rPr>
                <w:rFonts w:ascii="Calibri" w:hAnsi="Calibri"/>
                <w:sz w:val="22"/>
              </w:rPr>
              <w:t>N/A (GM not in China premium EV)</w:t>
            </w:r>
          </w:p>
        </w:tc>
        <w:tc>
          <w:tcPr>
            <w:tcW w:type="dxa" w:w="1728"/>
          </w:tcPr>
          <w:p>
            <w:r>
              <w:rPr>
                <w:rFonts w:ascii="Calibri" w:hAnsi="Calibri"/>
                <w:b/>
                <w:color w:val="30A46C"/>
                <w:sz w:val="22"/>
              </w:rPr>
              <w:t>Positive — premium EV demand in China is healthy; supports Tesla Model S/X and high-end Model Y</w:t>
            </w:r>
          </w:p>
        </w:tc>
      </w:tr>
      <w:tr>
        <w:tc>
          <w:tcPr>
            <w:tcW w:type="dxa" w:w="1728"/>
          </w:tcPr>
          <w:p>
            <w:r>
              <w:rPr>
                <w:rFonts w:ascii="Calibri" w:hAnsi="Calibri"/>
                <w:sz w:val="22"/>
              </w:rPr>
              <w:t>China Autonomy Pricing</w:t>
            </w:r>
          </w:p>
        </w:tc>
        <w:tc>
          <w:tcPr>
            <w:tcW w:type="dxa" w:w="1728"/>
          </w:tcPr>
          <w:p>
            <w:r>
              <w:rPr>
                <w:rFonts w:ascii="Calibri" w:hAnsi="Calibri"/>
                <w:sz w:val="22"/>
              </w:rPr>
              <w:t>Competitive; targeting Tesla FSD v14 parity in H2 2026</w:t>
            </w:r>
          </w:p>
        </w:tc>
        <w:tc>
          <w:tcPr>
            <w:tcW w:type="dxa" w:w="1728"/>
          </w:tcPr>
          <w:p>
            <w:r>
              <w:rPr>
                <w:rFonts w:ascii="Calibri" w:hAnsi="Calibri"/>
                <w:sz w:val="22"/>
              </w:rPr>
              <w:t>Competitive; MAHE M100 chip deployed</w:t>
            </w:r>
          </w:p>
        </w:tc>
        <w:tc>
          <w:tcPr>
            <w:tcW w:type="dxa" w:w="1728"/>
          </w:tcPr>
          <w:p>
            <w:r>
              <w:rPr>
                <w:rFonts w:ascii="Calibri" w:hAnsi="Calibri"/>
                <w:b/>
                <w:color w:val="E5484D"/>
                <w:sz w:val="22"/>
              </w:rPr>
              <w:t>Explicitly “unsustainable” pricing competition</w:t>
            </w:r>
          </w:p>
        </w:tc>
        <w:tc>
          <w:tcPr>
            <w:tcW w:type="dxa" w:w="1728"/>
          </w:tcPr>
          <w:p>
            <w:r>
              <w:rPr>
                <w:rFonts w:ascii="Calibri" w:hAnsi="Calibri"/>
                <w:b/>
                <w:color w:val="E5484D"/>
                <w:sz w:val="22"/>
              </w:rPr>
              <w:t>Negative — China FSD/autonomy pricing under pressure; may compress Tesla’s China FSD monetization</w:t>
            </w:r>
          </w:p>
        </w:tc>
      </w:tr>
      <w:tr>
        <w:tc>
          <w:tcPr>
            <w:tcW w:type="dxa" w:w="1728"/>
          </w:tcPr>
          <w:p>
            <w:r>
              <w:rPr>
                <w:rFonts w:ascii="Calibri" w:hAnsi="Calibri"/>
                <w:sz w:val="22"/>
              </w:rPr>
              <w:t>U.S. Autonomy Pricing Power</w:t>
            </w:r>
          </w:p>
        </w:tc>
        <w:tc>
          <w:tcPr>
            <w:tcW w:type="dxa" w:w="1728"/>
          </w:tcPr>
          <w:p>
            <w:r>
              <w:rPr>
                <w:rFonts w:ascii="Calibri" w:hAnsi="Calibri"/>
                <w:sz w:val="22"/>
              </w:rPr>
              <w:t>N/A (not in U.S. market)</w:t>
            </w:r>
          </w:p>
        </w:tc>
        <w:tc>
          <w:tcPr>
            <w:tcW w:type="dxa" w:w="1728"/>
          </w:tcPr>
          <w:p>
            <w:r>
              <w:rPr>
                <w:rFonts w:ascii="Calibri" w:hAnsi="Calibri"/>
                <w:sz w:val="22"/>
              </w:rPr>
              <w:t>N/A (not in U.S. market)</w:t>
            </w:r>
          </w:p>
        </w:tc>
        <w:tc>
          <w:tcPr>
            <w:tcW w:type="dxa" w:w="1728"/>
          </w:tcPr>
          <w:p>
            <w:r>
              <w:rPr>
                <w:rFonts w:ascii="Calibri" w:hAnsi="Calibri"/>
                <w:b/>
                <w:color w:val="30A46C"/>
                <w:sz w:val="22"/>
              </w:rPr>
              <w:t>Positive; “I do believe there’ll be pricing power”</w:t>
            </w:r>
          </w:p>
        </w:tc>
        <w:tc>
          <w:tcPr>
            <w:tcW w:type="dxa" w:w="1728"/>
          </w:tcPr>
          <w:p>
            <w:r>
              <w:rPr>
                <w:rFonts w:ascii="Calibri" w:hAnsi="Calibri"/>
                <w:b/>
                <w:color w:val="30A46C"/>
                <w:sz w:val="22"/>
              </w:rPr>
              <w:t>Positive — validates Tesla’s Robotaxi revenue thesis in the U.S.</w:t>
            </w:r>
          </w:p>
        </w:tc>
      </w:tr>
      <w:tr>
        <w:tc>
          <w:tcPr>
            <w:tcW w:type="dxa" w:w="1728"/>
          </w:tcPr>
          <w:p>
            <w:r>
              <w:rPr>
                <w:rFonts w:ascii="Calibri" w:hAnsi="Calibri"/>
                <w:sz w:val="22"/>
              </w:rPr>
              <w:t>EV Market Demand (U.S.)</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b/>
                <w:color w:val="E5484D"/>
                <w:sz w:val="22"/>
              </w:rPr>
              <w:t>Softer; smaller EV market post-incentive reduction</w:t>
            </w:r>
          </w:p>
        </w:tc>
        <w:tc>
          <w:tcPr>
            <w:tcW w:type="dxa" w:w="1728"/>
          </w:tcPr>
          <w:p>
            <w:r>
              <w:rPr>
                <w:rFonts w:ascii="Calibri" w:hAnsi="Calibri"/>
                <w:b/>
                <w:color w:val="E5484D"/>
                <w:sz w:val="22"/>
              </w:rPr>
              <w:t>Mildly negative — U.S. EV market softer; Tesla’s FSD differentiation may partially offset</w:t>
            </w:r>
          </w:p>
        </w:tc>
      </w:tr>
      <w:tr>
        <w:tc>
          <w:tcPr>
            <w:tcW w:type="dxa" w:w="1728"/>
          </w:tcPr>
          <w:p>
            <w:r>
              <w:rPr>
                <w:rFonts w:ascii="Calibri" w:hAnsi="Calibri"/>
                <w:sz w:val="22"/>
              </w:rPr>
              <w:t>Tariff Headwinds</w:t>
            </w:r>
          </w:p>
        </w:tc>
        <w:tc>
          <w:tcPr>
            <w:tcW w:type="dxa" w:w="1728"/>
          </w:tcPr>
          <w:p>
            <w:r>
              <w:rPr>
                <w:rFonts w:ascii="Calibri" w:hAnsi="Calibri"/>
                <w:sz w:val="22"/>
              </w:rPr>
              <w:t>Memory chip and battery cost inflation cited</w:t>
            </w:r>
          </w:p>
        </w:tc>
        <w:tc>
          <w:tcPr>
            <w:tcW w:type="dxa" w:w="1728"/>
          </w:tcPr>
          <w:p>
            <w:r>
              <w:rPr>
                <w:rFonts w:ascii="Calibri" w:hAnsi="Calibri"/>
                <w:sz w:val="22"/>
              </w:rPr>
              <w:t>Battery cells from China; tariff impacts on margins</w:t>
            </w:r>
          </w:p>
        </w:tc>
        <w:tc>
          <w:tcPr>
            <w:tcW w:type="dxa" w:w="1728"/>
          </w:tcPr>
          <w:p>
            <w:r>
              <w:rPr>
                <w:rFonts w:ascii="Calibri" w:hAnsi="Calibri"/>
                <w:sz w:val="22"/>
              </w:rPr>
              <w:t>$1.3B tariff cost in H1 2026; ongoing headwind</w:t>
            </w:r>
          </w:p>
        </w:tc>
        <w:tc>
          <w:tcPr>
            <w:tcW w:type="dxa" w:w="1728"/>
          </w:tcPr>
          <w:p>
            <w:r>
              <w:rPr>
                <w:rFonts w:ascii="Calibri" w:hAnsi="Calibri"/>
                <w:b/>
                <w:color w:val="E5484D"/>
                <w:sz w:val="22"/>
              </w:rPr>
              <w:t>Negative — tariff headwinds are sector-wide; Tesla’s energy margin normalization in Q2 reflects this</w:t>
            </w:r>
          </w:p>
        </w:tc>
      </w:tr>
      <w:tr>
        <w:tc>
          <w:tcPr>
            <w:tcW w:type="dxa" w:w="1728"/>
          </w:tcPr>
          <w:p>
            <w:r>
              <w:rPr>
                <w:rFonts w:ascii="Calibri" w:hAnsi="Calibri"/>
                <w:sz w:val="22"/>
              </w:rPr>
              <w:t>Physical AI / Robotaxi Competition</w:t>
            </w:r>
          </w:p>
        </w:tc>
        <w:tc>
          <w:tcPr>
            <w:tcW w:type="dxa" w:w="1728"/>
          </w:tcPr>
          <w:p>
            <w:r>
              <w:rPr>
                <w:rFonts w:ascii="Calibri" w:hAnsi="Calibri"/>
                <w:sz w:val="22"/>
              </w:rPr>
              <w:t>Robotaxi pilot in Guangzhou Q3 2026; IRON robot by year-end</w:t>
            </w:r>
          </w:p>
        </w:tc>
        <w:tc>
          <w:tcPr>
            <w:tcW w:type="dxa" w:w="1728"/>
          </w:tcPr>
          <w:p>
            <w:r>
              <w:rPr>
                <w:rFonts w:ascii="Calibri" w:hAnsi="Calibri"/>
                <w:sz w:val="22"/>
              </w:rPr>
              <w:t>Targeting Tesla FSD v14 parity; “competition of embodied AI”</w:t>
            </w:r>
          </w:p>
        </w:tc>
        <w:tc>
          <w:tcPr>
            <w:tcW w:type="dxa" w:w="1728"/>
          </w:tcPr>
          <w:p>
            <w:r>
              <w:rPr>
                <w:rFonts w:ascii="Calibri" w:hAnsi="Calibri"/>
                <w:sz w:val="22"/>
              </w:rPr>
              <w:t>Sodium ion battery partnership; autonomy pricing power in U.S.</w:t>
            </w:r>
          </w:p>
        </w:tc>
        <w:tc>
          <w:tcPr>
            <w:tcW w:type="dxa" w:w="1728"/>
          </w:tcPr>
          <w:p>
            <w:r>
              <w:rPr>
                <w:rFonts w:ascii="Calibri" w:hAnsi="Calibri"/>
                <w:sz w:val="22"/>
              </w:rPr>
              <w:t>Mixed — Tesla’s autonomous lead is real but being actively targeted; U.S. Robotaxi moat appears more durable than China</w:t>
            </w:r>
          </w:p>
        </w:tc>
      </w:tr>
    </w:tbl>
    <w:p>
      <w:r>
        <w:br w:type="page"/>
      </w:r>
    </w:p>
    <w:p>
      <w:pPr>
        <w:pStyle w:val="Heading2"/>
      </w:pPr>
      <w:r>
        <w:rPr>
          <w:rFonts w:ascii="Calibri" w:hAnsi="Calibri"/>
          <w:b/>
          <w:color w:val="3B4259"/>
          <w:sz w:val="28"/>
        </w:rPr>
        <w:t>Data Sources &amp; Disclosures</w:t>
      </w:r>
    </w:p>
    <w:p>
      <w:pPr>
        <w:pStyle w:val="ListBullet"/>
        <w:ind w:left="360" w:hanging="360"/>
      </w:pPr>
      <w:r>
        <w:rPr>
          <w:rFonts w:ascii="Calibri" w:hAnsi="Calibri"/>
          <w:b/>
          <w:color w:val="525866"/>
          <w:sz w:val="22"/>
        </w:rPr>
        <w:t>Visible Alpha Consensus and Actuals Data</w:t>
      </w:r>
      <w:r>
        <w:rPr>
          <w:rFonts w:ascii="Calibri" w:hAnsi="Calibri"/>
          <w:color w:val="525866"/>
          <w:sz w:val="22"/>
        </w:rPr>
        <w:t xml:space="preserve"> — Total Revenue, Diluted EPS – Operating, Total Units, Storage Deployed (MWh), Automotive Gross Margin ex-Credits. Source: https://insights.visiblealpha.com/mex/TSLA/NMV/IS and related VA endpoints.</w:t>
      </w:r>
    </w:p>
    <w:p>
      <w:pPr>
        <w:pStyle w:val="ListBullet"/>
        <w:ind w:left="360" w:hanging="360"/>
      </w:pPr>
      <w:r>
        <w:rPr>
          <w:rFonts w:ascii="Calibri" w:hAnsi="Calibri"/>
          <w:b/>
          <w:color w:val="525866"/>
          <w:sz w:val="22"/>
        </w:rPr>
        <w:t>Tesla Q1 2026 Earnings Call Transcript</w:t>
      </w:r>
      <w:r>
        <w:rPr>
          <w:rFonts w:ascii="Calibri" w:hAnsi="Calibri"/>
          <w:color w:val="525866"/>
          <w:sz w:val="22"/>
        </w:rPr>
        <w:t xml:space="preserve"> — April 22, 2026. Primary source for guidance, management commentary, and qualitative outlook. Filed: documents/TSLA/transcript/earnings/2026Q1/raw_document.txt.</w:t>
      </w:r>
    </w:p>
    <w:p>
      <w:pPr>
        <w:pStyle w:val="ListBullet"/>
        <w:ind w:left="360" w:hanging="360"/>
      </w:pPr>
      <w:r>
        <w:rPr>
          <w:rFonts w:ascii="Calibri" w:hAnsi="Calibri"/>
          <w:b/>
          <w:color w:val="525866"/>
          <w:sz w:val="22"/>
        </w:rPr>
        <w:t>Tesla Q2 2026 Production, Deliveries &amp; Deployments Press Release</w:t>
      </w:r>
      <w:r>
        <w:rPr>
          <w:rFonts w:ascii="Calibri" w:hAnsi="Calibri"/>
          <w:color w:val="525866"/>
          <w:sz w:val="22"/>
        </w:rPr>
        <w:t xml:space="preserve"> — July 2, 2026. Source: Tesla Investor Relations (ir.tesla.com); SEC 8-K EX-99.1 filed July 2, 2026.</w:t>
      </w:r>
    </w:p>
    <w:p>
      <w:pPr>
        <w:pStyle w:val="ListBullet"/>
        <w:ind w:left="360" w:hanging="360"/>
      </w:pPr>
      <w:r>
        <w:rPr>
          <w:rFonts w:ascii="Calibri" w:hAnsi="Calibri"/>
          <w:b/>
          <w:color w:val="525866"/>
          <w:sz w:val="22"/>
        </w:rPr>
        <w:t>GM Q2 2026 Earnings Call Transcript</w:t>
      </w:r>
      <w:r>
        <w:rPr>
          <w:rFonts w:ascii="Calibri" w:hAnsi="Calibri"/>
          <w:color w:val="525866"/>
          <w:sz w:val="22"/>
        </w:rPr>
        <w:t xml:space="preserve"> — July 21, 2026. Source: documents/GM/transcript/earnings/2026Q2/raw_document.txt.</w:t>
      </w:r>
    </w:p>
    <w:p>
      <w:pPr>
        <w:pStyle w:val="ListBullet"/>
        <w:ind w:left="360" w:hanging="360"/>
      </w:pPr>
      <w:r>
        <w:rPr>
          <w:rFonts w:ascii="Calibri" w:hAnsi="Calibri"/>
          <w:b/>
          <w:color w:val="525866"/>
          <w:sz w:val="22"/>
        </w:rPr>
        <w:t>XPeng Q1 2026 Earnings Call Transcript</w:t>
      </w:r>
      <w:r>
        <w:rPr>
          <w:rFonts w:ascii="Calibri" w:hAnsi="Calibri"/>
          <w:color w:val="525866"/>
          <w:sz w:val="22"/>
        </w:rPr>
        <w:t xml:space="preserve"> — May 28, 2026. Source: documents/XPEV/transcript/earnings/2026Q1/raw_document.txt.</w:t>
      </w:r>
    </w:p>
    <w:p>
      <w:pPr>
        <w:pStyle w:val="ListBullet"/>
        <w:ind w:left="360" w:hanging="360"/>
      </w:pPr>
      <w:r>
        <w:rPr>
          <w:rFonts w:ascii="Calibri" w:hAnsi="Calibri"/>
          <w:b/>
          <w:color w:val="525866"/>
          <w:sz w:val="22"/>
        </w:rPr>
        <w:t>Li Auto Q1 2026 Earnings Call Transcript</w:t>
      </w:r>
      <w:r>
        <w:rPr>
          <w:rFonts w:ascii="Calibri" w:hAnsi="Calibri"/>
          <w:color w:val="525866"/>
          <w:sz w:val="22"/>
        </w:rPr>
        <w:t xml:space="preserve"> — May 28, 2026. Source: documents/LI/transcript/earnings/2026Q1/raw_document.txt.</w:t>
      </w:r>
    </w:p>
    <w:p>
      <w:pPr>
        <w:pStyle w:val="ListBullet"/>
        <w:ind w:left="360" w:hanging="360"/>
      </w:pPr>
      <w:r>
        <w:rPr>
          <w:rFonts w:ascii="Calibri" w:hAnsi="Calibri"/>
          <w:b/>
          <w:color w:val="525866"/>
          <w:sz w:val="22"/>
        </w:rPr>
        <w:t>SEC Form 4 Filings Database</w:t>
      </w:r>
      <w:r>
        <w:rPr>
          <w:rFonts w:ascii="Calibri" w:hAnsi="Calibri"/>
          <w:color w:val="525866"/>
          <w:sz w:val="22"/>
        </w:rPr>
        <w:t xml:space="preserve"> — Insider transaction data for TSLA. Taneja Form 4: https://www.sec.gov/Archives/edgar/data/1318605/000110465926071970/xslF345X06/tm2617365-1_4seq1.xml. Wilson-Thompson Form 4: https://www.sec.gov/Archives/edgar/data/1318605/000110465926055079/xslF345X06/tm2613330-1_4seq1.xml.</w:t>
      </w:r>
    </w:p>
    <w:p>
      <w:pPr>
        <w:pStyle w:val="ListBullet"/>
        <w:ind w:left="360" w:hanging="360"/>
      </w:pPr>
      <w:r>
        <w:rPr>
          <w:rFonts w:ascii="Calibri" w:hAnsi="Calibri"/>
          <w:b/>
          <w:color w:val="525866"/>
          <w:sz w:val="22"/>
        </w:rPr>
        <w:t>Stock Price Data</w:t>
      </w:r>
      <w:r>
        <w:rPr>
          <w:rFonts w:ascii="Calibri" w:hAnsi="Calibri"/>
          <w:color w:val="525866"/>
          <w:sz w:val="22"/>
        </w:rPr>
        <w:t xml:space="preserve"> — Yahoo Finance. TSLA, XLY, SPY daily close prices April 22 – July 21, 2026.</w:t>
      </w:r>
    </w:p>
    <w:p>
      <w:pPr>
        <w:pStyle w:val="ListBullet"/>
        <w:ind w:left="360" w:hanging="360"/>
      </w:pPr>
      <w:r>
        <w:rPr>
          <w:rFonts w:ascii="Calibri" w:hAnsi="Calibri"/>
          <w:b/>
          <w:color w:val="525866"/>
          <w:sz w:val="22"/>
        </w:rPr>
        <w:t>News Digest / Daily News</w:t>
      </w:r>
      <w:r>
        <w:rPr>
          <w:rFonts w:ascii="Calibri" w:hAnsi="Calibri"/>
          <w:color w:val="525866"/>
          <w:sz w:val="22"/>
        </w:rPr>
        <w:t xml:space="preserve"> — Implied internal news aggregation. TSLA, GM, XPEV, LCID, RIVN news items July 2026.</w:t>
      </w:r>
    </w:p>
    <w:p>
      <w:r>
        <w:rPr>
          <w:rFonts w:ascii="Calibri" w:hAnsi="Calibri"/>
          <w:b/>
          <w:color w:val="525866"/>
          <w:sz w:val="22"/>
        </w:rPr>
        <w:t xml:space="preserve">Prepared by: </w:t>
      </w:r>
      <w:r>
        <w:rPr>
          <w:rFonts w:ascii="Calibri" w:hAnsi="Calibri"/>
          <w:color w:val="525866"/>
          <w:sz w:val="22"/>
        </w:rPr>
        <w:t>Implied Research — July 21, 2026. This document is for informational purposes only and does not constitute investment advice. All consensus estimates are sourced from Visible Alpha and reflect the latest available data as of the preparation date. Actual results may differ materially from estimates.</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