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cfe0df4aaf743f6128dbd99957718ae0b000f47"/>
    <w:p>
      <w:pPr>
        <w:pStyle w:val="Heading1"/>
      </w:pPr>
      <w:r>
        <w:t xml:space="preserve">Texas Instruments (TXN) — Q2 2026 Earnings Preview</w:t>
      </w:r>
    </w:p>
    <w:p>
      <w:pPr>
        <w:pStyle w:val="FirstParagraph"/>
      </w:pPr>
      <w:r>
        <w:rPr>
          <w:b/>
          <w:bCs/>
        </w:rPr>
        <w:t xml:space="preserve">Reporting: Wednesday, July 22, 2026, after market close</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TXN has been one of the more powerful re-rating stories in large-cap semis over the past year. Shares started 2026 around</w:t>
      </w:r>
      <w:r>
        <w:t xml:space="preserve"> </w:t>
      </w:r>
      <m:oMath>
        <m:r>
          <m:t>177</m:t>
        </m:r>
        <m:r>
          <m:rPr>
            <m:sty m:val="p"/>
          </m:rPr>
          <m:t>,</m:t>
        </m:r>
        <m:r>
          <m:t>b</m:t>
        </m:r>
        <m:r>
          <m:t>u</m:t>
        </m:r>
        <m:r>
          <m:t>t</m:t>
        </m:r>
        <m:r>
          <m:t>e</m:t>
        </m:r>
        <m:r>
          <m:t>x</m:t>
        </m:r>
        <m:r>
          <m:t>p</m:t>
        </m:r>
        <m:r>
          <m:t>l</m:t>
        </m:r>
        <m:r>
          <m:t>o</m:t>
        </m:r>
        <m:r>
          <m:t>d</m:t>
        </m:r>
        <m:r>
          <m:t>e</m:t>
        </m:r>
        <m:r>
          <m:t>d</m:t>
        </m:r>
        <m:r>
          <m:t>h</m:t>
        </m:r>
        <m:r>
          <m:t>i</m:t>
        </m:r>
        <m:r>
          <m:t>g</m:t>
        </m:r>
        <m:r>
          <m:t>h</m:t>
        </m:r>
        <m:r>
          <m:t>e</m:t>
        </m:r>
        <m:r>
          <m:t>r</m:t>
        </m:r>
        <m:r>
          <m:t>a</m:t>
        </m:r>
        <m:r>
          <m:t>f</m:t>
        </m:r>
        <m:r>
          <m:t>t</m:t>
        </m:r>
        <m:r>
          <m:t>e</m:t>
        </m:r>
        <m:r>
          <m:t>r</m:t>
        </m:r>
        <m:r>
          <m:t>t</m:t>
        </m:r>
        <m:r>
          <m:t>h</m:t>
        </m:r>
        <m:r>
          <m:t>e</m:t>
        </m:r>
        <m:r>
          <m:t>Q</m:t>
        </m:r>
        <m:r>
          <m:t>1</m:t>
        </m:r>
        <m:r>
          <m:t>r</m:t>
        </m:r>
        <m:r>
          <m:t>e</m:t>
        </m:r>
        <m:r>
          <m:t>p</m:t>
        </m:r>
        <m:r>
          <m:t>o</m:t>
        </m:r>
        <m:r>
          <m:t>r</m:t>
        </m:r>
        <m:r>
          <m:t>t</m:t>
        </m:r>
        <m:r>
          <m:t>o</m:t>
        </m:r>
        <m:r>
          <m:t>n</m:t>
        </m:r>
        <m:r>
          <m:t>A</m:t>
        </m:r>
        <m:r>
          <m:t>p</m:t>
        </m:r>
        <m:r>
          <m:t>r</m:t>
        </m:r>
        <m:r>
          <m:t>i</m:t>
        </m:r>
        <m:r>
          <m:t>l</m:t>
        </m:r>
        <m:r>
          <m:t>22</m:t>
        </m:r>
        <m:r>
          <m:rPr>
            <m:sty m:val="p"/>
          </m:rPr>
          <m:t>—</m:t>
        </m:r>
        <m:r>
          <m:t>j</m:t>
        </m:r>
        <m:r>
          <m:t>u</m:t>
        </m:r>
        <m:r>
          <m:t>m</m:t>
        </m:r>
        <m:r>
          <m:t>p</m:t>
        </m:r>
        <m:r>
          <m:t>i</m:t>
        </m:r>
        <m:r>
          <m:t>n</m:t>
        </m:r>
        <m:r>
          <m:t>g</m:t>
        </m:r>
        <m:r>
          <m:t>r</m:t>
        </m:r>
        <m:r>
          <m:t>o</m:t>
        </m:r>
        <m:r>
          <m:t>u</m:t>
        </m:r>
        <m:r>
          <m:t>g</m:t>
        </m:r>
        <m:r>
          <m:t>h</m:t>
        </m:r>
        <m:r>
          <m:t>l</m:t>
        </m:r>
        <m:r>
          <m:t>y</m:t>
        </m:r>
        <m:r>
          <m:t>19</m:t>
        </m:r>
      </m:oMath>
      <w:r>
        <w:t xml:space="preserve">236 to ~$282) — and continued climbing to an all-time high near $325 in late May before pulling back to the</w:t>
      </w:r>
      <w:r>
        <w:t xml:space="preserve"> </w:t>
      </w:r>
      <m:oMath>
        <m:r>
          <m:t>284</m:t>
        </m:r>
        <m:r>
          <m:rPr>
            <m:sty m:val="p"/>
          </m:rPr>
          <m:t>–</m:t>
        </m:r>
      </m:oMath>
      <w:r>
        <w:t xml:space="preserve">291 range heading into this week's print. That means the stock is still up roughly 65% year-to-date even after a ~10% retreat from the highs, so expectations are elevated and the bar for a "good enough" quarter is high.</w:t>
      </w:r>
    </w:p>
    <w:p>
      <w:pPr>
        <w:pStyle w:val="BodyText"/>
      </w:pPr>
      <w:r>
        <w:t xml:space="preserve">Sentiment context: buy-side commentary into the print notes that while enthusiasm for TXN isn't quite as frothy as for some AI-infrastructure semis, investors remain broadly constructive, "especially after a robust Q1 report in April," with the narrative centered on revenue/margin tailwinds and surging free cash flow. Sell-side consensus for Q2 is looking for revenue growth of about +17.1% y/y to ~</w:t>
      </w:r>
      <m:oMath>
        <m:r>
          <m:t>5.21</m:t>
        </m:r>
        <m:r>
          <m:t>B</m:t>
        </m:r>
        <m:r>
          <m:rPr>
            <m:sty m:val="p"/>
          </m:rPr>
          <m:t>,</m:t>
        </m:r>
        <m:r>
          <m:t>g</m:t>
        </m:r>
        <m:r>
          <m:t>r</m:t>
        </m:r>
        <m:r>
          <m:t>o</m:t>
        </m:r>
        <m:r>
          <m:t>s</m:t>
        </m:r>
        <m:r>
          <m:t>s</m:t>
        </m:r>
        <m:r>
          <m:t>m</m:t>
        </m:r>
        <m:r>
          <m:t>a</m:t>
        </m:r>
        <m:r>
          <m:t>r</m:t>
        </m:r>
        <m:r>
          <m:t>g</m:t>
        </m:r>
        <m:r>
          <m:t>i</m:t>
        </m:r>
        <m:r>
          <m:t>n</m:t>
        </m:r>
        <m:r>
          <m:t>e</m:t>
        </m:r>
        <m:r>
          <m:t>x</m:t>
        </m:r>
        <m:r>
          <m:t>p</m:t>
        </m:r>
        <m:r>
          <m:t>a</m:t>
        </m:r>
        <m:r>
          <m:t>n</m:t>
        </m:r>
        <m:r>
          <m:t>s</m:t>
        </m:r>
        <m:r>
          <m:t>i</m:t>
        </m:r>
        <m:r>
          <m:t>o</m:t>
        </m:r>
        <m:r>
          <m:t>n</m:t>
        </m:r>
        <m:r>
          <m:t>o</m:t>
        </m:r>
        <m:r>
          <m:t>f</m:t>
        </m:r>
        <m:r>
          <m:t> </m:t>
        </m:r>
        <m:r>
          <m:t>170</m:t>
        </m:r>
        <m:r>
          <m:t>b</m:t>
        </m:r>
        <m:r>
          <m:t>p</m:t>
        </m:r>
        <m:r>
          <m:t>s</m:t>
        </m:r>
        <m:r>
          <m:t>t</m:t>
        </m:r>
        <m:r>
          <m:t>o</m:t>
        </m:r>
        <m:r>
          <m:t> </m:t>
        </m:r>
        <m:r>
          <m:t>59.6</m:t>
        </m:r>
      </m:oMath>
      <w:r>
        <w:t xml:space="preserve">1.92, and free cash flow up ~220% y/y to ~</w:t>
      </w:r>
      <m:oMath>
        <m:r>
          <m:t>1.77</m:t>
        </m:r>
        <m:r>
          <m:t>B</m:t>
        </m:r>
        <m:r>
          <m:rPr>
            <m:sty m:val="p"/>
          </m:rPr>
          <m:t>—</m:t>
        </m:r>
        <m:r>
          <m:t>e</m:t>
        </m:r>
        <m:r>
          <m:t>s</m:t>
        </m:r>
        <m:r>
          <m:t>s</m:t>
        </m:r>
        <m:r>
          <m:t>e</m:t>
        </m:r>
        <m:r>
          <m:t>n</m:t>
        </m:r>
        <m:r>
          <m:t>t</m:t>
        </m:r>
        <m:r>
          <m:t>i</m:t>
        </m:r>
        <m:r>
          <m:t>a</m:t>
        </m:r>
        <m:r>
          <m:t>l</m:t>
        </m:r>
        <m:r>
          <m:t>l</m:t>
        </m:r>
        <m:r>
          <m:t>y</m:t>
        </m:r>
        <m:r>
          <m:t>i</m:t>
        </m:r>
        <m:r>
          <m:t>n</m:t>
        </m:r>
        <m:r>
          <m:t>l</m:t>
        </m:r>
        <m:r>
          <m:t>i</m:t>
        </m:r>
        <m:r>
          <m:t>n</m:t>
        </m:r>
        <m:r>
          <m:t>e</m:t>
        </m:r>
        <m:r>
          <m:t>w</m:t>
        </m:r>
        <m:r>
          <m:t>i</m:t>
        </m:r>
        <m:r>
          <m:t>t</m:t>
        </m:r>
        <m:r>
          <m:t>h</m:t>
        </m:r>
        <m:r>
          <m:t>T</m:t>
        </m:r>
        <m:sSup>
          <m:e>
            <m:r>
              <m:t>I</m:t>
            </m:r>
          </m:e>
          <m:sup>
            <m:r>
              <m:rPr>
                <m:sty m:val="p"/>
              </m:rPr>
              <m:t>′</m:t>
            </m:r>
          </m:sup>
        </m:sSup>
        <m:r>
          <m:t>s</m:t>
        </m:r>
        <m:r>
          <m:t>o</m:t>
        </m:r>
        <m:r>
          <m:t>w</m:t>
        </m:r>
        <m:r>
          <m:t>n</m:t>
        </m:r>
        <m:r>
          <m:t>g</m:t>
        </m:r>
        <m:r>
          <m:t>u</m:t>
        </m:r>
        <m:r>
          <m:t>i</m:t>
        </m:r>
        <m:r>
          <m:t>d</m:t>
        </m:r>
        <m:r>
          <m:t>a</m:t>
        </m:r>
        <m:r>
          <m:t>n</m:t>
        </m:r>
        <m:r>
          <m:t>c</m:t>
        </m:r>
        <m:r>
          <m:t>e</m:t>
        </m:r>
        <m:r>
          <m:t>m</m:t>
        </m:r>
        <m:r>
          <m:t>i</m:t>
        </m:r>
        <m:r>
          <m:t>d</m:t>
        </m:r>
        <m:r>
          <m:t>p</m:t>
        </m:r>
        <m:r>
          <m:t>o</m:t>
        </m:r>
        <m:r>
          <m:t>i</m:t>
        </m:r>
        <m:r>
          <m:t>n</m:t>
        </m:r>
        <m:r>
          <m:t>t</m:t>
        </m:r>
        <m:r>
          <m:rPr>
            <m:sty m:val="p"/>
          </m:rPr>
          <m:t>(</m:t>
        </m:r>
      </m:oMath>
      <w:r>
        <w:t xml:space="preserve">5.2B revenue / $1.91 EPS at midpoint).</w:t>
      </w:r>
    </w:p>
    <w:bookmarkEnd w:id="9"/>
    <w:bookmarkStart w:id="10" w:name="what-ti-guidedsaid-last-quarter"/>
    <w:p>
      <w:pPr>
        <w:pStyle w:val="Heading2"/>
      </w:pPr>
      <w:r>
        <w:t xml:space="preserve">What TI Guided/Said Last Quarter</w:t>
      </w:r>
    </w:p>
    <w:p>
      <w:pPr>
        <w:pStyle w:val="FirstParagraph"/>
      </w:pPr>
      <w:r>
        <w:t xml:space="preserve">Q1 2026 was a strong beat-and-raise setup: revenue of $4.83B (+9% sequential, +19% y/y), EPS of $1.68 (including a 5-cent non-guided tax benefit), gross margin of 58% (+210bps sequentially), and record trailing-12-month free cash flow of $4.4B (up from $1.7B a year earlier). Growth was led by</w:t>
      </w:r>
      <w:r>
        <w:t xml:space="preserve"> </w:t>
      </w:r>
      <w:r>
        <w:rPr>
          <w:b/>
          <w:bCs/>
        </w:rPr>
        <w:t xml:space="preserve">industrial (+30% y/y, +20%+ sequentially, broad across all sectors/regions)</w:t>
      </w:r>
      <w:r>
        <w:t xml:space="preserve"> </w:t>
      </w:r>
      <w:r>
        <w:t xml:space="preserve">and</w:t>
      </w:r>
      <w:r>
        <w:t xml:space="preserve"> </w:t>
      </w:r>
      <w:r>
        <w:rPr>
          <w:b/>
          <w:bCs/>
        </w:rPr>
        <w:t xml:space="preserve">data center (+90% y/y, +25%+ sequentially)</w:t>
      </w:r>
      <w:r>
        <w:t xml:space="preserve">, while</w:t>
      </w:r>
      <w:r>
        <w:t xml:space="preserve"> </w:t>
      </w:r>
      <w:r>
        <w:rPr>
          <w:b/>
          <w:bCs/>
        </w:rPr>
        <w:t xml:space="preserve">automotive was roughly flat sequentially</w:t>
      </w:r>
      <w:r>
        <w:t xml:space="preserve"> </w:t>
      </w:r>
      <w:r>
        <w:t xml:space="preserve">— with China auto notably weaker even as the rest of the world grew.</w:t>
      </w:r>
    </w:p>
    <w:p>
      <w:pPr>
        <w:pStyle w:val="BodyText"/>
      </w:pPr>
      <w:r>
        <w:t xml:space="preserve">Management's Q2 guide, issued on the April call, calls for</w:t>
      </w:r>
      <w:r>
        <w:t xml:space="preserve"> </w:t>
      </w:r>
      <w:r>
        <w:rPr>
          <w:b/>
          <w:bCs/>
        </w:rPr>
        <w:t xml:space="preserve">revenue of</w:t>
      </w:r>
      <w:r>
        <w:rPr>
          <w:b/>
          <w:bCs/>
        </w:rPr>
        <w:t xml:space="preserve"> </w:t>
      </w:r>
      <m:oMath>
        <m:r>
          <m:t>5.00</m:t>
        </m:r>
        <m:r>
          <m:t>B</m:t>
        </m:r>
        <m:r>
          <m:rPr>
            <m:sty m:val="p"/>
          </m:rPr>
          <m:t>–</m:t>
        </m:r>
      </m:oMath>
      <w:r>
        <w:rPr>
          <w:b/>
          <w:bCs/>
        </w:rPr>
        <w:t xml:space="preserve">5.40B and EPS of</w:t>
      </w:r>
      <w:r>
        <w:rPr>
          <w:b/>
          <w:bCs/>
        </w:rPr>
        <w:t xml:space="preserve"> </w:t>
      </w:r>
      <m:oMath>
        <m:r>
          <m:t>1.77</m:t>
        </m:r>
        <m:r>
          <m:rPr>
            <m:sty m:val="p"/>
          </m:rPr>
          <m:t>–</m:t>
        </m:r>
      </m:oMath>
      <w:r>
        <w:rPr>
          <w:b/>
          <w:bCs/>
        </w:rPr>
        <w:t xml:space="preserve">2.05</w:t>
      </w:r>
      <w:r>
        <w:t xml:space="preserve"> </w:t>
      </w:r>
      <w:r>
        <w:t xml:space="preserve">(about 8% sequential growth at the midpoint — "a little bit above seasonal," per CEO Haviv Ilan), with an effective tax rate near 13%.</w:t>
      </w:r>
    </w:p>
    <w:bookmarkEnd w:id="10"/>
    <w:bookmarkStart w:id="11" w:name="key-themes-to-watch-in-the-print"/>
    <w:p>
      <w:pPr>
        <w:pStyle w:val="Heading2"/>
      </w:pPr>
      <w:r>
        <w:t xml:space="preserve">Key Themes to Watch in the Print</w:t>
      </w:r>
    </w:p>
    <w:p>
      <w:pPr>
        <w:pStyle w:val="FirstParagraph"/>
      </w:pPr>
      <w:r>
        <w:rPr>
          <w:b/>
          <w:bCs/>
        </w:rPr>
        <w:t xml:space="preserve">1. Is the industrial/data-center upcycle sustainable, or is this another "false start"?</w:t>
      </w:r>
      <w:r>
        <w:t xml:space="preserve"> </w:t>
      </w:r>
      <w:r>
        <w:t xml:space="preserve">Management was explicit that 2025 saw a strong first half that faded in the second half, and CEO Haviv Ilan flagged this as the "biggest question" heading into 2H26 — whether the current breadth of industrial demand (still ~15–25% below the 2022 peak by TI's own reckoning) and data-center strength continues to accelerate or stalls again. Watch commentary on order breadth, book-to-bill, and whether growth is still "broad across all sectors, all geographies, all customer sizes" as it was in Q1.</w:t>
      </w:r>
    </w:p>
    <w:p>
      <w:pPr>
        <w:pStyle w:val="BodyText"/>
      </w:pPr>
      <w:r>
        <w:rPr>
          <w:b/>
          <w:bCs/>
        </w:rPr>
        <w:t xml:space="preserve">2. Automotive, especially China.</w:t>
      </w:r>
      <w:r>
        <w:t xml:space="preserve"> </w:t>
      </w:r>
      <w:r>
        <w:t xml:space="preserve">Auto was flat sequentially in Q1 with China down and the rest of world up; TI called it "too soon" to draw conclusions and drew a parallel to the COVID cycle where autos lagged the broader recovery on both the way down and the way up. Any signs of stabilization or further softness in China auto will be a focal point.</w:t>
      </w:r>
    </w:p>
    <w:p>
      <w:pPr>
        <w:pStyle w:val="BodyText"/>
      </w:pPr>
      <w:r>
        <w:rPr>
          <w:b/>
          <w:bCs/>
        </w:rPr>
        <w:t xml:space="preserve">3. Pricing — potential second-half inflection.</w:t>
      </w:r>
      <w:r>
        <w:t xml:space="preserve"> </w:t>
      </w:r>
      <w:r>
        <w:t xml:space="preserve">TI's pricing was flat/stable in Q1 (better than the usual low-single-digit sequential/y-o-y decline), and management explicitly flagged that "it's likely that prices may go up in the second half of the year" if demand sustains, given tightening OSAT (assembly/test) capacity industry-wide and rising analog market pricing more broadly. Commentary here matters for 2H26 margin trajectory — and is notably echoed by peer TSMC, which has reportedly discussed strategic price increases of up to 10% for next year given rising manufacturing costs, a read-through that the broader semi pricing environment is firming.</w:t>
      </w:r>
    </w:p>
    <w:p>
      <w:pPr>
        <w:pStyle w:val="BodyText"/>
      </w:pPr>
      <w:r>
        <w:rPr>
          <w:b/>
          <w:bCs/>
        </w:rPr>
        <w:t xml:space="preserve">4. Free cash flow / capital returns trajectory.</w:t>
      </w:r>
      <w:r>
        <w:t xml:space="preserve"> </w:t>
      </w:r>
      <w:r>
        <w:t xml:space="preserve">TI reiterated confidence in reaching</w:t>
      </w:r>
      <w:r>
        <w:t xml:space="preserve"> </w:t>
      </w:r>
      <w:r>
        <w:rPr>
          <w:b/>
          <w:bCs/>
        </w:rPr>
        <w:t xml:space="preserve">$8+ of free cash flow per share for 2026</w:t>
      </w:r>
      <w:r>
        <w:t xml:space="preserve"> </w:t>
      </w:r>
      <w:r>
        <w:t xml:space="preserve">(up from</w:t>
      </w:r>
      <w:r>
        <w:t xml:space="preserve"> </w:t>
      </w:r>
      <m:oMath>
        <m:r>
          <m:t>3.23</m:t>
        </m:r>
        <m:r>
          <m:t>i</m:t>
        </m:r>
        <m:r>
          <m:t>n</m:t>
        </m:r>
        <m:r>
          <m:t>2025</m:t>
        </m:r>
        <m:r>
          <m:rPr>
            <m:sty m:val="p"/>
          </m:rPr>
          <m:t>)</m:t>
        </m:r>
        <m:r>
          <m:rPr>
            <m:sty m:val="p"/>
          </m:rPr>
          <m:t>,</m:t>
        </m:r>
        <m:r>
          <m:t>a</m:t>
        </m:r>
        <m:r>
          <m:t>i</m:t>
        </m:r>
        <m:r>
          <m:t>d</m:t>
        </m:r>
        <m:r>
          <m:t>e</m:t>
        </m:r>
        <m:r>
          <m:t>d</m:t>
        </m:r>
        <m:r>
          <m:t>b</m:t>
        </m:r>
        <m:r>
          <m:t>y</m:t>
        </m:r>
        <m:r>
          <m:t>m</m:t>
        </m:r>
        <m:r>
          <m:t>o</m:t>
        </m:r>
        <m:r>
          <m:t>d</m:t>
        </m:r>
        <m:r>
          <m:t>e</m:t>
        </m:r>
        <m:r>
          <m:t>r</m:t>
        </m:r>
        <m:r>
          <m:t>a</m:t>
        </m:r>
        <m:r>
          <m:t>t</m:t>
        </m:r>
        <m:r>
          <m:t>i</m:t>
        </m:r>
        <m:r>
          <m:t>n</m:t>
        </m:r>
        <m:r>
          <m:t>g</m:t>
        </m:r>
        <m:r>
          <m:t>c</m:t>
        </m:r>
        <m:r>
          <m:t>a</m:t>
        </m:r>
        <m:r>
          <m:t>p</m:t>
        </m:r>
        <m:r>
          <m:t>e</m:t>
        </m:r>
        <m:r>
          <m:t>x</m:t>
        </m:r>
        <m:r>
          <m:rPr>
            <m:sty m:val="p"/>
          </m:rPr>
          <m:t>(</m:t>
        </m:r>
      </m:oMath>
      <w:r>
        <w:t xml:space="preserve">2B–$3B guided for 2026, down from $4.6B in 2025) as the company nears the end of its multi-year 300mm capacity build-out and shifts into "Phase 3" modular, demand-driven capacity additions. Watch for any update to this framework, plus continued inventory drawdown from the 209 days reported at Q1-end (within the 150–250 day target band) and further dividend/buyback commentary (TI returned $6B to shareholders over the trailing 12 months).</w:t>
      </w:r>
    </w:p>
    <w:p>
      <w:pPr>
        <w:pStyle w:val="BodyText"/>
      </w:pPr>
      <w:r>
        <w:rPr>
          <w:b/>
          <w:bCs/>
        </w:rPr>
        <w:t xml:space="preserve">5. Silicon Labs deal progress.</w:t>
      </w:r>
      <w:r>
        <w:t xml:space="preserve"> </w:t>
      </w:r>
      <w:r>
        <w:t xml:space="preserve">TI's pending acquisition of Silicon Labs (announced Q1, expected to close H1 2027) enhances its embedded wireless connectivity position. Expect continued disclosure of acquisition-related charges (management guided these to run at a similar rate to Q1's $17M each quarter until closing) and any regulatory/timing updates.</w:t>
      </w:r>
    </w:p>
    <w:p>
      <w:pPr>
        <w:pStyle w:val="BodyText"/>
      </w:pPr>
      <w:r>
        <w:rPr>
          <w:b/>
          <w:bCs/>
        </w:rPr>
        <w:t xml:space="preserve">6. Capacity and margin fall-through.</w:t>
      </w:r>
      <w:r>
        <w:t xml:space="preserve"> </w:t>
      </w:r>
      <w:r>
        <w:t xml:space="preserve">Management has consistently guided incremental gross margin fall-through of 75%–85% (ex-depreciation) on revenue growth. With depreciation still rising (</w:t>
      </w:r>
      <m:oMath>
        <m:r>
          <m:t>2.2</m:t>
        </m:r>
        <m:r>
          <m:t>B</m:t>
        </m:r>
        <m:r>
          <m:rPr>
            <m:sty m:val="p"/>
          </m:rPr>
          <m:t>–</m:t>
        </m:r>
      </m:oMath>
      <w:r>
        <w:t xml:space="preserve">2.4B guided for 2026, versus $1.9B in 2025), watch whether margin expansion tracks the model or surprises either way, and how CFO Rafael Lizardi frames fab loadings given the "Phase 3" modulation of wafer starts.</w:t>
      </w:r>
    </w:p>
    <w:bookmarkEnd w:id="11"/>
    <w:bookmarkStart w:id="12" w:name="sector-backdrop"/>
    <w:p>
      <w:pPr>
        <w:pStyle w:val="Heading2"/>
      </w:pPr>
      <w:r>
        <w:t xml:space="preserve">Sector Backdrop</w:t>
      </w:r>
    </w:p>
    <w:p>
      <w:pPr>
        <w:pStyle w:val="FirstParagraph"/>
      </w:pPr>
      <w:r>
        <w:t xml:space="preserve">The read-through from adjacent semiconductor names has been broadly positive into TXN's report: ASML raised its annual sales forecast for the second time this year and flagged AI-capex-driven demand; TSMC raised full-year capex guidance to</w:t>
      </w:r>
      <w:r>
        <w:t xml:space="preserve"> </w:t>
      </w:r>
      <m:oMath>
        <m:r>
          <m:t>60</m:t>
        </m:r>
        <m:r>
          <m:t>B</m:t>
        </m:r>
        <m:r>
          <m:rPr>
            <m:sty m:val="p"/>
          </m:rPr>
          <m:t>–</m:t>
        </m:r>
      </m:oMath>
      <w:r>
        <w:t xml:space="preserve">64B and committed an additional $100B to its Arizona buildout amid what it called a "multi-year demand mega trend." These signals support the bull case that the broader chip upcycle — and by extension TI's industrial/data-center exposure — still has room to run, even as some mega-cap AI infrastructure names (e.g., Oracle) have drawn scrutiny over balance-sheet strain from capex commitments.</w:t>
      </w:r>
    </w:p>
    <w:bookmarkEnd w:id="12"/>
    <w:bookmarkStart w:id="13" w:name="bottom-line"/>
    <w:p>
      <w:pPr>
        <w:pStyle w:val="Heading2"/>
      </w:pPr>
      <w:r>
        <w:t xml:space="preserve">Bottom Line</w:t>
      </w:r>
    </w:p>
    <w:p>
      <w:pPr>
        <w:pStyle w:val="FirstParagraph"/>
      </w:pPr>
      <w:r>
        <w:t xml:space="preserve">Going into the print, TXN's own guidance and Street consensus are tightly aligned around ~$5.2B revenue and ~EPS</w:t>
      </w:r>
      <w:r>
        <w:t xml:space="preserve"> </w:t>
      </w:r>
      <m:oMath>
        <m:r>
          <m:t>1.91</m:t>
        </m:r>
        <m:r>
          <m:rPr>
            <m:sty m:val="p"/>
          </m:rPr>
          <m:t>–</m:t>
        </m:r>
      </m:oMath>
      <w:r>
        <w:t xml:space="preserve">1.92, so an in-line quarter may not be enough to move the stock meaningfully given how far shares have run since April. The more important swing factors will be: (1) breadth/durability of industrial and data-center growth into the back half of the year, (2) any incremental color on pricing turning positive, (3) automotive/China trends, and (4) the Q3 guide and updated free-cash-flow-per-share trajectory relative to the "&gt;$8 for 2026" framework management has reiterated since February. Given the size of the year-to-date move and the stock's recent pullback from all-time highs, the market's reaction is likely to hinge more on forward commentary and guidance than on the Q2 print itself.</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2026-07-22T00:31:10Z</dcterms:created>
  <dcterms:modified xsi:type="dcterms:W3CDTF">2026-07-22T00:31:10Z</dcterms:modified>
</cp:coreProperties>
</file>

<file path=docProps/custom.xml><?xml version="1.0" encoding="utf-8"?>
<Properties xmlns="http://schemas.openxmlformats.org/officeDocument/2006/custom-properties" xmlns:vt="http://schemas.openxmlformats.org/officeDocument/2006/docPropsVTypes"/>
</file>